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D2" w:rsidRPr="00DD18C1" w:rsidRDefault="00984ABC" w:rsidP="00FE590C">
      <w:pPr>
        <w:rPr>
          <w:b/>
          <w:sz w:val="48"/>
          <w:szCs w:val="48"/>
          <w:lang w:val="es-DO"/>
        </w:rPr>
      </w:pPr>
      <w:r>
        <w:rPr>
          <w:sz w:val="52"/>
          <w:szCs w:val="52"/>
        </w:rPr>
        <w:tab/>
      </w:r>
      <w:r w:rsidR="00993356" w:rsidRPr="00DD18C1">
        <w:rPr>
          <w:b/>
          <w:sz w:val="48"/>
          <w:szCs w:val="48"/>
          <w:lang w:val="es-DO"/>
        </w:rPr>
        <w:t>NOTAS A LOS ESTADOS FINANCIEROS</w:t>
      </w:r>
    </w:p>
    <w:p w:rsidR="006F53B0" w:rsidRDefault="006F53B0" w:rsidP="00B572DB">
      <w:pPr>
        <w:rPr>
          <w:rFonts w:ascii="Times New Roman" w:hAnsi="Times New Roman" w:cs="Times New Roman"/>
          <w:b/>
          <w:sz w:val="24"/>
          <w:szCs w:val="24"/>
          <w:lang w:val="es-DO"/>
        </w:rPr>
      </w:pPr>
      <w:r w:rsidRPr="006F53B0">
        <w:rPr>
          <w:rFonts w:ascii="Times New Roman" w:hAnsi="Times New Roman" w:cs="Times New Roman"/>
          <w:b/>
          <w:sz w:val="24"/>
          <w:szCs w:val="24"/>
          <w:lang w:val="es-DO"/>
        </w:rPr>
        <w:t>Nota #1 Entidad económica</w:t>
      </w:r>
    </w:p>
    <w:p w:rsidR="004B65D3" w:rsidRPr="00EB3415" w:rsidRDefault="007B2C2B"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El ayuntamiento Municipal de Restauración, </w:t>
      </w:r>
      <w:r w:rsidR="00970907">
        <w:rPr>
          <w:rFonts w:ascii="Times New Roman" w:hAnsi="Times New Roman" w:cs="Times New Roman"/>
          <w:sz w:val="24"/>
          <w:szCs w:val="24"/>
          <w:lang w:val="es-DO"/>
        </w:rPr>
        <w:t>fue el primero de la provincia de Dajab</w:t>
      </w:r>
      <w:r w:rsidR="00E41345">
        <w:rPr>
          <w:rFonts w:ascii="Times New Roman" w:hAnsi="Times New Roman" w:cs="Times New Roman"/>
          <w:sz w:val="24"/>
          <w:szCs w:val="24"/>
          <w:lang w:val="es-DO"/>
        </w:rPr>
        <w:t>ó</w:t>
      </w:r>
      <w:r w:rsidR="00970907">
        <w:rPr>
          <w:rFonts w:ascii="Times New Roman" w:hAnsi="Times New Roman" w:cs="Times New Roman"/>
          <w:sz w:val="24"/>
          <w:szCs w:val="24"/>
          <w:lang w:val="es-DO"/>
        </w:rPr>
        <w:t>n en convertirse en Ayuntamiento bajo la le</w:t>
      </w:r>
      <w:r w:rsidR="00E41345">
        <w:rPr>
          <w:rFonts w:ascii="Times New Roman" w:hAnsi="Times New Roman" w:cs="Times New Roman"/>
          <w:sz w:val="24"/>
          <w:szCs w:val="24"/>
          <w:lang w:val="es-DO"/>
        </w:rPr>
        <w:t>y 1521 del 20 de junio del 1938</w:t>
      </w:r>
      <w:r w:rsidR="004B65D3" w:rsidRPr="004B65D3">
        <w:rPr>
          <w:rFonts w:ascii="Times New Roman" w:hAnsi="Times New Roman" w:cs="Times New Roman"/>
          <w:sz w:val="24"/>
          <w:szCs w:val="24"/>
          <w:lang w:val="es-DO"/>
        </w:rPr>
        <w:t>.</w:t>
      </w:r>
      <w:r w:rsidR="00E41345">
        <w:rPr>
          <w:rFonts w:ascii="Times New Roman" w:hAnsi="Times New Roman" w:cs="Times New Roman"/>
          <w:sz w:val="24"/>
          <w:szCs w:val="24"/>
          <w:lang w:val="es-DO"/>
        </w:rPr>
        <w:t xml:space="preserve"> </w:t>
      </w:r>
      <w:r w:rsidR="00EB3415" w:rsidRPr="00EB3415">
        <w:rPr>
          <w:rFonts w:ascii="Times New Roman" w:hAnsi="Times New Roman" w:cs="Times New Roman"/>
          <w:sz w:val="24"/>
          <w:szCs w:val="24"/>
          <w:lang w:val="es-DO"/>
        </w:rPr>
        <w:t xml:space="preserve">Este municipio debe su nombre a la gesta Restauradora, la cual se llevó a cabo el 16 de agosto de 1863, que se libró en Capotillo. </w:t>
      </w:r>
      <w:r w:rsidR="00EB3415" w:rsidRPr="00B836F7">
        <w:rPr>
          <w:rFonts w:ascii="Times New Roman" w:hAnsi="Times New Roman" w:cs="Times New Roman"/>
          <w:sz w:val="24"/>
          <w:szCs w:val="24"/>
          <w:lang w:val="es-DO"/>
        </w:rPr>
        <w:t>Fue fundado como municipio el 23 de junio de 1892.</w:t>
      </w:r>
    </w:p>
    <w:p w:rsidR="00DD18C1" w:rsidRDefault="00DD18C1"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El Ayuntamiento Municipal de Restauración, tiene su domicilio en la Av. San José #51, Centro de esta Ciudad.</w:t>
      </w:r>
    </w:p>
    <w:p w:rsidR="004B65D3" w:rsidRDefault="004B65D3"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Al </w:t>
      </w:r>
      <w:r w:rsidR="00FC631B">
        <w:rPr>
          <w:rFonts w:ascii="Times New Roman" w:hAnsi="Times New Roman" w:cs="Times New Roman"/>
          <w:sz w:val="24"/>
          <w:szCs w:val="24"/>
          <w:lang w:val="es-DO"/>
        </w:rPr>
        <w:t>31</w:t>
      </w:r>
      <w:r w:rsidR="00FC631B" w:rsidRPr="00B572DB">
        <w:rPr>
          <w:rFonts w:ascii="Times New Roman" w:hAnsi="Times New Roman" w:cs="Times New Roman"/>
          <w:sz w:val="24"/>
          <w:szCs w:val="24"/>
          <w:lang w:val="es-DO"/>
        </w:rPr>
        <w:t xml:space="preserve"> de </w:t>
      </w:r>
      <w:r w:rsidR="00B4136E">
        <w:rPr>
          <w:rFonts w:ascii="Times New Roman" w:hAnsi="Times New Roman" w:cs="Times New Roman"/>
          <w:sz w:val="24"/>
          <w:szCs w:val="24"/>
          <w:lang w:val="es-DO"/>
        </w:rPr>
        <w:t>diciembre</w:t>
      </w:r>
      <w:r w:rsidR="00FC631B" w:rsidRPr="00B572DB">
        <w:rPr>
          <w:rFonts w:ascii="Times New Roman" w:hAnsi="Times New Roman" w:cs="Times New Roman"/>
          <w:sz w:val="24"/>
          <w:szCs w:val="24"/>
          <w:lang w:val="es-DO"/>
        </w:rPr>
        <w:t xml:space="preserve"> de 20</w:t>
      </w:r>
      <w:r w:rsidR="00070BEB">
        <w:rPr>
          <w:rFonts w:ascii="Times New Roman" w:hAnsi="Times New Roman" w:cs="Times New Roman"/>
          <w:sz w:val="24"/>
          <w:szCs w:val="24"/>
          <w:lang w:val="es-DO"/>
        </w:rPr>
        <w:t>22</w:t>
      </w:r>
      <w:r>
        <w:rPr>
          <w:rFonts w:ascii="Times New Roman" w:hAnsi="Times New Roman" w:cs="Times New Roman"/>
          <w:sz w:val="24"/>
          <w:szCs w:val="24"/>
          <w:lang w:val="es-DO"/>
        </w:rPr>
        <w:t>, los principales funcionarios del Ayuntamiento son los siguientes:</w:t>
      </w:r>
    </w:p>
    <w:p w:rsidR="004B65D3" w:rsidRDefault="004B65D3" w:rsidP="001E35D9">
      <w:pPr>
        <w:jc w:val="both"/>
        <w:rPr>
          <w:rFonts w:ascii="Times New Roman" w:hAnsi="Times New Roman" w:cs="Times New Roman"/>
          <w:sz w:val="24"/>
          <w:szCs w:val="24"/>
          <w:u w:val="single"/>
          <w:lang w:val="es-DO"/>
        </w:rPr>
      </w:pPr>
      <w:r w:rsidRPr="004B65D3">
        <w:rPr>
          <w:rFonts w:ascii="Times New Roman" w:hAnsi="Times New Roman" w:cs="Times New Roman"/>
          <w:sz w:val="24"/>
          <w:szCs w:val="24"/>
          <w:u w:val="single"/>
          <w:lang w:val="es-DO"/>
        </w:rPr>
        <w:t xml:space="preserve">Nombre </w:t>
      </w:r>
    </w:p>
    <w:p w:rsidR="004B65D3" w:rsidRDefault="005B0459" w:rsidP="00A65DB9">
      <w:pPr>
        <w:pStyle w:val="Sinespaciado"/>
        <w:rPr>
          <w:lang w:val="es-DO"/>
        </w:rPr>
      </w:pPr>
      <w:r>
        <w:rPr>
          <w:lang w:val="es-DO"/>
        </w:rPr>
        <w:t>Osclide</w:t>
      </w:r>
      <w:r w:rsidR="00381C56">
        <w:rPr>
          <w:lang w:val="es-DO"/>
        </w:rPr>
        <w:t>s</w:t>
      </w:r>
      <w:bookmarkStart w:id="0" w:name="_GoBack"/>
      <w:bookmarkEnd w:id="0"/>
      <w:r>
        <w:rPr>
          <w:lang w:val="es-DO"/>
        </w:rPr>
        <w:t xml:space="preserve"> Valerio</w:t>
      </w:r>
      <w:r w:rsidR="004B65D3">
        <w:rPr>
          <w:lang w:val="es-DO"/>
        </w:rPr>
        <w:tab/>
      </w:r>
      <w:r w:rsidR="004B65D3">
        <w:rPr>
          <w:lang w:val="es-DO"/>
        </w:rPr>
        <w:tab/>
      </w:r>
      <w:r w:rsidR="004B65D3">
        <w:rPr>
          <w:lang w:val="es-DO"/>
        </w:rPr>
        <w:tab/>
        <w:t>Alcalde Municipal</w:t>
      </w:r>
    </w:p>
    <w:p w:rsidR="006446A4" w:rsidRDefault="00BC4A2B" w:rsidP="00A65DB9">
      <w:pPr>
        <w:pStyle w:val="Sinespaciado"/>
        <w:rPr>
          <w:lang w:val="es-DO"/>
        </w:rPr>
      </w:pPr>
      <w:r>
        <w:rPr>
          <w:lang w:val="es-DO"/>
        </w:rPr>
        <w:t xml:space="preserve">Félix Solís Rodríguez        </w:t>
      </w:r>
      <w:r w:rsidR="006446A4">
        <w:rPr>
          <w:lang w:val="es-DO"/>
        </w:rPr>
        <w:tab/>
        <w:t>Presidente Sala Capitular</w:t>
      </w:r>
    </w:p>
    <w:p w:rsidR="006446A4" w:rsidRDefault="00BC4A2B" w:rsidP="00A65DB9">
      <w:pPr>
        <w:pStyle w:val="Sinespaciado"/>
        <w:rPr>
          <w:lang w:val="es-DO"/>
        </w:rPr>
      </w:pPr>
      <w:r>
        <w:rPr>
          <w:lang w:val="es-DO"/>
        </w:rPr>
        <w:t xml:space="preserve">Felicia Minaya de Ramírez </w:t>
      </w:r>
      <w:r w:rsidR="006446A4">
        <w:rPr>
          <w:lang w:val="es-DO"/>
        </w:rPr>
        <w:tab/>
        <w:t>Vicepresidenta</w:t>
      </w:r>
    </w:p>
    <w:p w:rsidR="004B65D3" w:rsidRDefault="00BC4A2B" w:rsidP="00A65DB9">
      <w:pPr>
        <w:pStyle w:val="Sinespaciado"/>
        <w:rPr>
          <w:lang w:val="es-DO"/>
        </w:rPr>
      </w:pPr>
      <w:r>
        <w:rPr>
          <w:lang w:val="es-DO"/>
        </w:rPr>
        <w:t xml:space="preserve">Maytte A. Amarante </w:t>
      </w:r>
      <w:r>
        <w:rPr>
          <w:lang w:val="es-DO"/>
        </w:rPr>
        <w:tab/>
      </w:r>
      <w:r w:rsidR="00A65DB9">
        <w:rPr>
          <w:lang w:val="es-DO"/>
        </w:rPr>
        <w:tab/>
        <w:t>Regidor</w:t>
      </w:r>
    </w:p>
    <w:p w:rsidR="00A65DB9" w:rsidRDefault="00BC4A2B" w:rsidP="00A65DB9">
      <w:pPr>
        <w:pStyle w:val="Sinespaciado"/>
        <w:rPr>
          <w:lang w:val="es-DO"/>
        </w:rPr>
      </w:pPr>
      <w:r>
        <w:rPr>
          <w:lang w:val="es-DO"/>
        </w:rPr>
        <w:t>LLesenia Nazaret</w:t>
      </w:r>
      <w:r w:rsidR="00A65DB9">
        <w:rPr>
          <w:lang w:val="es-DO"/>
        </w:rPr>
        <w:tab/>
      </w:r>
      <w:r w:rsidR="00A65DB9">
        <w:rPr>
          <w:lang w:val="es-DO"/>
        </w:rPr>
        <w:tab/>
        <w:t>Regidor</w:t>
      </w:r>
    </w:p>
    <w:p w:rsidR="00A65DB9" w:rsidRDefault="00BC4A2B" w:rsidP="00A65DB9">
      <w:pPr>
        <w:pStyle w:val="Sinespaciado"/>
        <w:rPr>
          <w:lang w:val="es-DO"/>
        </w:rPr>
      </w:pPr>
      <w:r>
        <w:rPr>
          <w:lang w:val="es-DO"/>
        </w:rPr>
        <w:t>Manuel de js Romano</w:t>
      </w:r>
      <w:r w:rsidR="00A65DB9">
        <w:rPr>
          <w:lang w:val="es-DO"/>
        </w:rPr>
        <w:t xml:space="preserve"> </w:t>
      </w:r>
      <w:r w:rsidR="00A65DB9">
        <w:rPr>
          <w:lang w:val="es-DO"/>
        </w:rPr>
        <w:tab/>
      </w:r>
      <w:r w:rsidR="00A65DB9">
        <w:rPr>
          <w:lang w:val="es-DO"/>
        </w:rPr>
        <w:tab/>
        <w:t>Regidor</w:t>
      </w:r>
    </w:p>
    <w:p w:rsidR="00BC4A2B" w:rsidRDefault="00BC4A2B" w:rsidP="00A65DB9">
      <w:pPr>
        <w:pStyle w:val="Sinespaciado"/>
        <w:rPr>
          <w:lang w:val="es-DO"/>
        </w:rPr>
      </w:pPr>
      <w:r>
        <w:rPr>
          <w:lang w:val="es-DO"/>
        </w:rPr>
        <w:t>Francisco Ig. Polanco</w:t>
      </w:r>
      <w:r>
        <w:rPr>
          <w:lang w:val="es-DO"/>
        </w:rPr>
        <w:tab/>
      </w:r>
      <w:r>
        <w:rPr>
          <w:lang w:val="es-DO"/>
        </w:rPr>
        <w:tab/>
        <w:t>Regidor</w:t>
      </w:r>
    </w:p>
    <w:p w:rsidR="004B65D3" w:rsidRDefault="004B65D3" w:rsidP="00A65DB9">
      <w:pPr>
        <w:pStyle w:val="Sinespaciado"/>
        <w:rPr>
          <w:lang w:val="es-DO"/>
        </w:rPr>
      </w:pPr>
      <w:r>
        <w:rPr>
          <w:lang w:val="es-DO"/>
        </w:rPr>
        <w:t>Carolina Rekwest</w:t>
      </w:r>
      <w:r>
        <w:rPr>
          <w:lang w:val="es-DO"/>
        </w:rPr>
        <w:tab/>
      </w:r>
      <w:r>
        <w:rPr>
          <w:lang w:val="es-DO"/>
        </w:rPr>
        <w:tab/>
        <w:t>Contralor</w:t>
      </w:r>
    </w:p>
    <w:p w:rsidR="006F53B0" w:rsidRDefault="005B0459" w:rsidP="00A65DB9">
      <w:pPr>
        <w:pStyle w:val="Sinespaciado"/>
        <w:rPr>
          <w:lang w:val="es-DO"/>
        </w:rPr>
      </w:pPr>
      <w:r>
        <w:rPr>
          <w:lang w:val="es-DO"/>
        </w:rPr>
        <w:t xml:space="preserve">Nelfis Canela      </w:t>
      </w:r>
      <w:r w:rsidR="004B65D3">
        <w:rPr>
          <w:lang w:val="es-DO"/>
        </w:rPr>
        <w:tab/>
      </w:r>
      <w:r w:rsidR="00530F55">
        <w:rPr>
          <w:lang w:val="es-DO"/>
        </w:rPr>
        <w:tab/>
      </w:r>
      <w:r w:rsidR="004B65D3">
        <w:rPr>
          <w:lang w:val="es-DO"/>
        </w:rPr>
        <w:t>Tesorera</w:t>
      </w:r>
    </w:p>
    <w:p w:rsidR="00A65DB9" w:rsidRPr="00A65DB9" w:rsidRDefault="00A65DB9" w:rsidP="00A65DB9">
      <w:pPr>
        <w:pStyle w:val="Sinespaciado"/>
        <w:rPr>
          <w:lang w:val="es-DO"/>
        </w:rPr>
      </w:pPr>
    </w:p>
    <w:p w:rsidR="006F53B0" w:rsidRPr="006C6B29" w:rsidRDefault="006C6B29" w:rsidP="001E35D9">
      <w:pPr>
        <w:jc w:val="both"/>
        <w:rPr>
          <w:rFonts w:ascii="Times New Roman" w:hAnsi="Times New Roman" w:cs="Times New Roman"/>
          <w:b/>
          <w:sz w:val="24"/>
          <w:szCs w:val="24"/>
          <w:lang w:val="es-DO"/>
        </w:rPr>
      </w:pPr>
      <w:r w:rsidRPr="006C6B29">
        <w:rPr>
          <w:rFonts w:ascii="Times New Roman" w:hAnsi="Times New Roman" w:cs="Times New Roman"/>
          <w:b/>
          <w:sz w:val="24"/>
          <w:szCs w:val="24"/>
          <w:lang w:val="es-DO"/>
        </w:rPr>
        <w:t xml:space="preserve">Nota #2 Base de presentación </w:t>
      </w:r>
    </w:p>
    <w:p w:rsidR="006F53B0" w:rsidRDefault="006C6B2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Los Estados Financieros han sido preparados de conformidad con las Normas Internacionales de Contabilidad del Sector Público (NICSP), adoptadas por la Dirección General de Contabilidad Gubernamental de la República Dominicana (Digecog).</w:t>
      </w:r>
    </w:p>
    <w:p w:rsidR="006C6B29" w:rsidRDefault="00A65DB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El Ayuntamiento Municipal de Restauración</w:t>
      </w:r>
      <w:r w:rsidR="006C6B29">
        <w:rPr>
          <w:rFonts w:ascii="Times New Roman" w:hAnsi="Times New Roman" w:cs="Times New Roman"/>
          <w:sz w:val="24"/>
          <w:szCs w:val="24"/>
          <w:lang w:val="es-DO"/>
        </w:rPr>
        <w:t xml:space="preserve"> presenta su presupuesto aprobado según la base contable de efectivo y los Estados Financieros </w:t>
      </w:r>
      <w:r w:rsidR="00B4136E">
        <w:rPr>
          <w:rFonts w:ascii="Times New Roman" w:hAnsi="Times New Roman" w:cs="Times New Roman"/>
          <w:sz w:val="24"/>
          <w:szCs w:val="24"/>
          <w:lang w:val="es-DO"/>
        </w:rPr>
        <w:t>sobre la</w:t>
      </w:r>
      <w:r w:rsidR="006C6B29">
        <w:rPr>
          <w:rFonts w:ascii="Times New Roman" w:hAnsi="Times New Roman" w:cs="Times New Roman"/>
          <w:sz w:val="24"/>
          <w:szCs w:val="24"/>
          <w:lang w:val="es-DO"/>
        </w:rPr>
        <w:t xml:space="preserve"> base d</w:t>
      </w:r>
      <w:r>
        <w:rPr>
          <w:rFonts w:ascii="Times New Roman" w:hAnsi="Times New Roman" w:cs="Times New Roman"/>
          <w:sz w:val="24"/>
          <w:szCs w:val="24"/>
          <w:lang w:val="es-DO"/>
        </w:rPr>
        <w:t>e</w:t>
      </w:r>
      <w:r w:rsidR="006C6B29">
        <w:rPr>
          <w:rFonts w:ascii="Times New Roman" w:hAnsi="Times New Roman" w:cs="Times New Roman"/>
          <w:sz w:val="24"/>
          <w:szCs w:val="24"/>
          <w:lang w:val="es-DO"/>
        </w:rPr>
        <w:t xml:space="preserve"> acumulación (o devengo) conforme a las estipulaciones d las NICESP 24 “Presentación d Información del Presupuesto en los Estados Financieros”.</w:t>
      </w:r>
    </w:p>
    <w:p w:rsidR="006C6B29" w:rsidRDefault="006C6B2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El presupuesto se aprueba según la base contable de efectivo siguiendo una clasificación de pago por funciones. El presupuesto aprobado cubre el periodo fiscal que va desde el 1ro.</w:t>
      </w:r>
      <w:r w:rsidR="00D93789">
        <w:rPr>
          <w:rFonts w:ascii="Times New Roman" w:hAnsi="Times New Roman" w:cs="Times New Roman"/>
          <w:sz w:val="24"/>
          <w:szCs w:val="24"/>
          <w:lang w:val="es-DO"/>
        </w:rPr>
        <w:t xml:space="preserve">, </w:t>
      </w:r>
      <w:r>
        <w:rPr>
          <w:rFonts w:ascii="Times New Roman" w:hAnsi="Times New Roman" w:cs="Times New Roman"/>
          <w:sz w:val="24"/>
          <w:szCs w:val="24"/>
          <w:lang w:val="es-DO"/>
        </w:rPr>
        <w:t xml:space="preserve"> de enero hasta el </w:t>
      </w:r>
      <w:r w:rsidR="00FC631B">
        <w:rPr>
          <w:rFonts w:ascii="Times New Roman" w:hAnsi="Times New Roman" w:cs="Times New Roman"/>
          <w:sz w:val="24"/>
          <w:szCs w:val="24"/>
          <w:lang w:val="es-DO"/>
        </w:rPr>
        <w:t>31</w:t>
      </w:r>
      <w:r w:rsidR="00FC631B" w:rsidRPr="00B572DB">
        <w:rPr>
          <w:rFonts w:ascii="Times New Roman" w:hAnsi="Times New Roman" w:cs="Times New Roman"/>
          <w:sz w:val="24"/>
          <w:szCs w:val="24"/>
          <w:lang w:val="es-DO"/>
        </w:rPr>
        <w:t xml:space="preserve"> de </w:t>
      </w:r>
      <w:r w:rsidR="00FC631B">
        <w:rPr>
          <w:rFonts w:ascii="Times New Roman" w:hAnsi="Times New Roman" w:cs="Times New Roman"/>
          <w:sz w:val="24"/>
          <w:szCs w:val="24"/>
          <w:lang w:val="es-DO"/>
        </w:rPr>
        <w:t>Diciembre</w:t>
      </w:r>
      <w:r w:rsidR="00FC631B" w:rsidRPr="00B572DB">
        <w:rPr>
          <w:rFonts w:ascii="Times New Roman" w:hAnsi="Times New Roman" w:cs="Times New Roman"/>
          <w:sz w:val="24"/>
          <w:szCs w:val="24"/>
          <w:lang w:val="es-DO"/>
        </w:rPr>
        <w:t xml:space="preserve"> de 20</w:t>
      </w:r>
      <w:r w:rsidR="00070BEB">
        <w:rPr>
          <w:rFonts w:ascii="Times New Roman" w:hAnsi="Times New Roman" w:cs="Times New Roman"/>
          <w:sz w:val="24"/>
          <w:szCs w:val="24"/>
          <w:lang w:val="es-DO"/>
        </w:rPr>
        <w:t>22</w:t>
      </w:r>
      <w:r w:rsidR="00BC59E1">
        <w:rPr>
          <w:rFonts w:ascii="Times New Roman" w:hAnsi="Times New Roman" w:cs="Times New Roman"/>
          <w:sz w:val="24"/>
          <w:szCs w:val="24"/>
          <w:lang w:val="es-DO"/>
        </w:rPr>
        <w:t xml:space="preserve"> </w:t>
      </w:r>
      <w:r>
        <w:rPr>
          <w:rFonts w:ascii="Times New Roman" w:hAnsi="Times New Roman" w:cs="Times New Roman"/>
          <w:sz w:val="24"/>
          <w:szCs w:val="24"/>
          <w:lang w:val="es-DO"/>
        </w:rPr>
        <w:t>y es incluido como información suplementaria en los Estados Financieros y sus Notas.</w:t>
      </w:r>
    </w:p>
    <w:p w:rsidR="006C6B29" w:rsidRDefault="006C6B2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La emisión y aprobación final de los Estados Financieros debe ser autorizada por el funcionario de más alto nivel </w:t>
      </w:r>
    </w:p>
    <w:p w:rsidR="00FE590C" w:rsidRDefault="00FE590C" w:rsidP="001E35D9">
      <w:pPr>
        <w:jc w:val="both"/>
        <w:rPr>
          <w:rFonts w:ascii="Times New Roman" w:hAnsi="Times New Roman" w:cs="Times New Roman"/>
          <w:b/>
          <w:sz w:val="24"/>
          <w:szCs w:val="24"/>
          <w:lang w:val="es-DO"/>
        </w:rPr>
      </w:pPr>
    </w:p>
    <w:p w:rsidR="00970907" w:rsidRDefault="00970907" w:rsidP="001E35D9">
      <w:pPr>
        <w:jc w:val="both"/>
        <w:rPr>
          <w:rFonts w:ascii="Times New Roman" w:hAnsi="Times New Roman" w:cs="Times New Roman"/>
          <w:b/>
          <w:sz w:val="24"/>
          <w:szCs w:val="24"/>
          <w:lang w:val="es-DO"/>
        </w:rPr>
      </w:pPr>
    </w:p>
    <w:p w:rsidR="00970907" w:rsidRDefault="00970907" w:rsidP="001E35D9">
      <w:pPr>
        <w:jc w:val="both"/>
        <w:rPr>
          <w:rFonts w:ascii="Times New Roman" w:hAnsi="Times New Roman" w:cs="Times New Roman"/>
          <w:b/>
          <w:sz w:val="24"/>
          <w:szCs w:val="24"/>
          <w:lang w:val="es-DO"/>
        </w:rPr>
      </w:pPr>
    </w:p>
    <w:p w:rsidR="00D93789" w:rsidRDefault="00D93789" w:rsidP="001E35D9">
      <w:pPr>
        <w:jc w:val="both"/>
        <w:rPr>
          <w:rFonts w:ascii="Times New Roman" w:hAnsi="Times New Roman" w:cs="Times New Roman"/>
          <w:b/>
          <w:sz w:val="24"/>
          <w:szCs w:val="24"/>
          <w:lang w:val="es-DO"/>
        </w:rPr>
      </w:pPr>
      <w:r w:rsidRPr="00D93789">
        <w:rPr>
          <w:rFonts w:ascii="Times New Roman" w:hAnsi="Times New Roman" w:cs="Times New Roman"/>
          <w:b/>
          <w:sz w:val="24"/>
          <w:szCs w:val="24"/>
          <w:lang w:val="es-DO"/>
        </w:rPr>
        <w:t xml:space="preserve">Nota # 3 Moneda funcional y de presentación </w:t>
      </w:r>
    </w:p>
    <w:p w:rsidR="00D93789" w:rsidRDefault="00D93789" w:rsidP="001E35D9">
      <w:pPr>
        <w:jc w:val="both"/>
        <w:rPr>
          <w:rFonts w:ascii="Times New Roman" w:hAnsi="Times New Roman" w:cs="Times New Roman"/>
          <w:sz w:val="24"/>
          <w:szCs w:val="24"/>
          <w:lang w:val="es-DO"/>
        </w:rPr>
      </w:pPr>
      <w:r w:rsidRPr="00D93789">
        <w:rPr>
          <w:rFonts w:ascii="Times New Roman" w:hAnsi="Times New Roman" w:cs="Times New Roman"/>
          <w:sz w:val="24"/>
          <w:szCs w:val="24"/>
          <w:lang w:val="es-DO"/>
        </w:rPr>
        <w:t>Los Estados Financieros están presentados en pesos dominicanos (RD$) moneda de curso legal en República Dominicana.</w:t>
      </w:r>
    </w:p>
    <w:p w:rsidR="00D93789" w:rsidRDefault="00D93789" w:rsidP="001E35D9">
      <w:pPr>
        <w:jc w:val="both"/>
        <w:rPr>
          <w:rFonts w:ascii="Times New Roman" w:hAnsi="Times New Roman" w:cs="Times New Roman"/>
          <w:b/>
          <w:sz w:val="24"/>
          <w:szCs w:val="24"/>
          <w:lang w:val="es-DO"/>
        </w:rPr>
      </w:pPr>
      <w:r w:rsidRPr="00D93789">
        <w:rPr>
          <w:rFonts w:ascii="Times New Roman" w:hAnsi="Times New Roman" w:cs="Times New Roman"/>
          <w:b/>
          <w:sz w:val="24"/>
          <w:szCs w:val="24"/>
          <w:lang w:val="es-DO"/>
        </w:rPr>
        <w:t>Nota #4 Uso de estimados y Juicios</w:t>
      </w:r>
    </w:p>
    <w:p w:rsidR="00D93789" w:rsidRDefault="00D93789" w:rsidP="001E35D9">
      <w:pPr>
        <w:jc w:val="both"/>
        <w:rPr>
          <w:rFonts w:ascii="Times New Roman" w:hAnsi="Times New Roman" w:cs="Times New Roman"/>
          <w:sz w:val="24"/>
          <w:szCs w:val="24"/>
          <w:lang w:val="es-DO"/>
        </w:rPr>
      </w:pPr>
      <w:r w:rsidRPr="00D93789">
        <w:rPr>
          <w:rFonts w:ascii="Times New Roman" w:hAnsi="Times New Roman" w:cs="Times New Roman"/>
          <w:sz w:val="24"/>
          <w:szCs w:val="24"/>
          <w:lang w:val="es-DO"/>
        </w:rPr>
        <w:t>La preparación de los Estados Financieros de confirmada con las NICSP, requiere que la administración realice juicios estimaciones y supuestos que afectan la aplicación de las Políticas Contable y los montos de activos, pasivos, ingresos y gastos reportados. Los resultados reales pueden diferir de estas estimaciones.</w:t>
      </w:r>
    </w:p>
    <w:p w:rsidR="00D93789" w:rsidRDefault="00D9378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Las estimaciones y supuestos relevantes son revisados regularmente, las cuales son reconocidas prospectivamente.</w:t>
      </w:r>
    </w:p>
    <w:p w:rsidR="002B1773" w:rsidRDefault="002B1773" w:rsidP="001E35D9">
      <w:pPr>
        <w:jc w:val="both"/>
        <w:rPr>
          <w:rFonts w:ascii="Times New Roman" w:hAnsi="Times New Roman" w:cs="Times New Roman"/>
          <w:b/>
          <w:sz w:val="24"/>
          <w:szCs w:val="24"/>
          <w:lang w:val="es-DO"/>
        </w:rPr>
      </w:pPr>
      <w:r w:rsidRPr="002B1773">
        <w:rPr>
          <w:rFonts w:ascii="Times New Roman" w:hAnsi="Times New Roman" w:cs="Times New Roman"/>
          <w:b/>
          <w:sz w:val="24"/>
          <w:szCs w:val="24"/>
          <w:lang w:val="es-DO"/>
        </w:rPr>
        <w:t>Medición de los valores razonables.</w:t>
      </w:r>
    </w:p>
    <w:p w:rsidR="002B1773" w:rsidRDefault="002B1773" w:rsidP="001E35D9">
      <w:pPr>
        <w:jc w:val="both"/>
        <w:rPr>
          <w:rFonts w:ascii="Times New Roman" w:hAnsi="Times New Roman" w:cs="Times New Roman"/>
          <w:sz w:val="24"/>
          <w:szCs w:val="24"/>
          <w:lang w:val="es-DO"/>
        </w:rPr>
      </w:pPr>
      <w:r w:rsidRPr="002B1773">
        <w:rPr>
          <w:rFonts w:ascii="Times New Roman" w:hAnsi="Times New Roman" w:cs="Times New Roman"/>
          <w:sz w:val="24"/>
          <w:szCs w:val="24"/>
          <w:lang w:val="es-DO"/>
        </w:rPr>
        <w:t>La entidad cuenta con un marco de control establecido en relación con el cálculo de los valores razonables y tiene la responsabilidad general por la supervisión de todas las mediciones significativas de este, incluyendo los de Niveles 3.</w:t>
      </w:r>
    </w:p>
    <w:p w:rsidR="00F55E15" w:rsidRDefault="00F55E15"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Cuando se mide el valor razonable de un activo o pasivo, </w:t>
      </w:r>
      <w:r w:rsidR="00D30134">
        <w:rPr>
          <w:rFonts w:ascii="Times New Roman" w:hAnsi="Times New Roman" w:cs="Times New Roman"/>
          <w:sz w:val="24"/>
          <w:szCs w:val="24"/>
          <w:lang w:val="es-DO"/>
        </w:rPr>
        <w:t>El Ayuntamiento Municipal de Restauración</w:t>
      </w:r>
      <w:r>
        <w:rPr>
          <w:rFonts w:ascii="Times New Roman" w:hAnsi="Times New Roman" w:cs="Times New Roman"/>
          <w:sz w:val="24"/>
          <w:szCs w:val="24"/>
          <w:lang w:val="es-DO"/>
        </w:rPr>
        <w:t xml:space="preserve"> utiliza siempre que sea posible, precios cotizados en un mercado activo.</w:t>
      </w:r>
    </w:p>
    <w:p w:rsidR="00F55E15" w:rsidRDefault="00F55E15"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Si el mercado para un activo o pasivo no es activo, la entidad establecerá el valor razonable utilizando una técnica de valoración. Con ésta se busca establecer cuál será el precio de una transacción realizada a la fecha de medición.</w:t>
      </w:r>
    </w:p>
    <w:p w:rsidR="00B63F7D" w:rsidRDefault="00B63F7D"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Los valores se clasifican en niveles distintos dentro de una jerarquía como sigue:</w:t>
      </w:r>
    </w:p>
    <w:p w:rsidR="00B63F7D" w:rsidRDefault="00B63F7D"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Nivel 1: Precios (no-ajustados) en mercados activos para activos o pasivos idénticos,</w:t>
      </w:r>
    </w:p>
    <w:p w:rsidR="00B63F7D" w:rsidRDefault="00B63F7D"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Nivel 2: Datos diferentes de los precios cotizados incluidos en el Nivel 1 que sean observados para el activo o pasivo, ya sea directa (precios) o indirectamente (derivados de los precios).</w:t>
      </w:r>
    </w:p>
    <w:p w:rsidR="00B63F7D" w:rsidRDefault="00B63F7D"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Nivel 3: Datos para el activo o pasivo que no se basan en datos de mercados observables (variables no observables).</w:t>
      </w:r>
    </w:p>
    <w:p w:rsidR="00B63F7D" w:rsidRDefault="00B57155"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Si las variables usadas para medir el valor razonable de un activo o pasivo pueden clasificarse en niveles distintos de la jerarquía del valor </w:t>
      </w:r>
      <w:r w:rsidR="00C56DD1">
        <w:rPr>
          <w:rFonts w:ascii="Times New Roman" w:hAnsi="Times New Roman" w:cs="Times New Roman"/>
          <w:sz w:val="24"/>
          <w:szCs w:val="24"/>
          <w:lang w:val="es-DO"/>
        </w:rPr>
        <w:t>razonable</w:t>
      </w:r>
      <w:r>
        <w:rPr>
          <w:rFonts w:ascii="Times New Roman" w:hAnsi="Times New Roman" w:cs="Times New Roman"/>
          <w:sz w:val="24"/>
          <w:szCs w:val="24"/>
          <w:lang w:val="es-DO"/>
        </w:rPr>
        <w:t xml:space="preserve">, entonces la medición se clasifica en su totalidad en el mismo nivel de la jerarquía </w:t>
      </w:r>
      <w:r w:rsidR="00C56DD1">
        <w:rPr>
          <w:rFonts w:ascii="Times New Roman" w:hAnsi="Times New Roman" w:cs="Times New Roman"/>
          <w:sz w:val="24"/>
          <w:szCs w:val="24"/>
          <w:lang w:val="es-DO"/>
        </w:rPr>
        <w:t>que la variable de nivel más bajo que sea significativa para la medición total.</w:t>
      </w:r>
    </w:p>
    <w:p w:rsidR="00FE590C" w:rsidRDefault="00A65DB9"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El Ayuntamiento Municipal de Restauración </w:t>
      </w:r>
      <w:r w:rsidR="00F76EDA">
        <w:rPr>
          <w:rFonts w:ascii="Times New Roman" w:hAnsi="Times New Roman" w:cs="Times New Roman"/>
          <w:sz w:val="24"/>
          <w:szCs w:val="24"/>
          <w:lang w:val="es-DO"/>
        </w:rPr>
        <w:t>reconoce las trans</w:t>
      </w:r>
      <w:r w:rsidR="00924982">
        <w:rPr>
          <w:rFonts w:ascii="Times New Roman" w:hAnsi="Times New Roman" w:cs="Times New Roman"/>
          <w:sz w:val="24"/>
          <w:szCs w:val="24"/>
          <w:lang w:val="es-DO"/>
        </w:rPr>
        <w:t>ferencias</w:t>
      </w:r>
      <w:r w:rsidR="00F76EDA">
        <w:rPr>
          <w:rFonts w:ascii="Times New Roman" w:hAnsi="Times New Roman" w:cs="Times New Roman"/>
          <w:sz w:val="24"/>
          <w:szCs w:val="24"/>
          <w:lang w:val="es-DO"/>
        </w:rPr>
        <w:t xml:space="preserve"> entre los niveles de la jerarquía del valor razonable al final del periodo sobre el que se informa durante el que ocurrió el cambio</w:t>
      </w:r>
      <w:r w:rsidR="00244574">
        <w:rPr>
          <w:rFonts w:ascii="Times New Roman" w:hAnsi="Times New Roman" w:cs="Times New Roman"/>
          <w:sz w:val="24"/>
          <w:szCs w:val="24"/>
          <w:lang w:val="es-DO"/>
        </w:rPr>
        <w:t>.</w:t>
      </w:r>
    </w:p>
    <w:p w:rsidR="00970907" w:rsidRDefault="00970907" w:rsidP="001E35D9">
      <w:pPr>
        <w:jc w:val="both"/>
        <w:rPr>
          <w:rFonts w:ascii="Times New Roman" w:hAnsi="Times New Roman" w:cs="Times New Roman"/>
          <w:b/>
          <w:sz w:val="24"/>
          <w:szCs w:val="24"/>
          <w:lang w:val="es-DO"/>
        </w:rPr>
      </w:pPr>
    </w:p>
    <w:p w:rsidR="00970907" w:rsidRDefault="00970907" w:rsidP="001E35D9">
      <w:pPr>
        <w:jc w:val="both"/>
        <w:rPr>
          <w:rFonts w:ascii="Times New Roman" w:hAnsi="Times New Roman" w:cs="Times New Roman"/>
          <w:b/>
          <w:sz w:val="24"/>
          <w:szCs w:val="24"/>
          <w:lang w:val="es-DO"/>
        </w:rPr>
      </w:pPr>
    </w:p>
    <w:p w:rsidR="00244574" w:rsidRDefault="00244574" w:rsidP="001E35D9">
      <w:pPr>
        <w:jc w:val="both"/>
        <w:rPr>
          <w:rFonts w:ascii="Times New Roman" w:hAnsi="Times New Roman" w:cs="Times New Roman"/>
          <w:b/>
          <w:sz w:val="24"/>
          <w:szCs w:val="24"/>
          <w:lang w:val="es-DO"/>
        </w:rPr>
      </w:pPr>
      <w:r w:rsidRPr="00244574">
        <w:rPr>
          <w:rFonts w:ascii="Times New Roman" w:hAnsi="Times New Roman" w:cs="Times New Roman"/>
          <w:b/>
          <w:sz w:val="24"/>
          <w:szCs w:val="24"/>
          <w:lang w:val="es-DO"/>
        </w:rPr>
        <w:t xml:space="preserve">Nota #5 Base de medición </w:t>
      </w:r>
    </w:p>
    <w:p w:rsidR="00B854F4" w:rsidRDefault="002E187B" w:rsidP="001E35D9">
      <w:pPr>
        <w:jc w:val="both"/>
        <w:rPr>
          <w:rFonts w:ascii="Times New Roman" w:hAnsi="Times New Roman" w:cs="Times New Roman"/>
          <w:b/>
          <w:sz w:val="24"/>
          <w:szCs w:val="24"/>
          <w:lang w:val="es-DO"/>
        </w:rPr>
      </w:pPr>
      <w:r w:rsidRPr="002E187B">
        <w:rPr>
          <w:rFonts w:ascii="Times New Roman" w:hAnsi="Times New Roman" w:cs="Times New Roman"/>
          <w:sz w:val="24"/>
          <w:szCs w:val="24"/>
          <w:lang w:val="es-DO"/>
        </w:rPr>
        <w:t>Los Estados Financieros se elaboran sobre la base del costo histórico, a excepción de los terrenos y edificios los cuales son valuados mediante tasaciones realizadas por un experto externo.</w:t>
      </w:r>
    </w:p>
    <w:p w:rsidR="00C56DD1" w:rsidRDefault="00454153" w:rsidP="001E35D9">
      <w:pPr>
        <w:jc w:val="both"/>
        <w:rPr>
          <w:rFonts w:ascii="Times New Roman" w:hAnsi="Times New Roman" w:cs="Times New Roman"/>
          <w:b/>
          <w:sz w:val="24"/>
          <w:szCs w:val="24"/>
          <w:lang w:val="es-DO"/>
        </w:rPr>
      </w:pPr>
      <w:r w:rsidRPr="00454153">
        <w:rPr>
          <w:rFonts w:ascii="Times New Roman" w:hAnsi="Times New Roman" w:cs="Times New Roman"/>
          <w:b/>
          <w:sz w:val="24"/>
          <w:szCs w:val="24"/>
          <w:lang w:val="es-DO"/>
        </w:rPr>
        <w:t>Nota#6 Resumen de Políticas Contables significativas</w:t>
      </w:r>
    </w:p>
    <w:p w:rsidR="00424302" w:rsidRDefault="00424302" w:rsidP="001E35D9">
      <w:pPr>
        <w:jc w:val="both"/>
        <w:rPr>
          <w:rFonts w:ascii="Times New Roman" w:hAnsi="Times New Roman" w:cs="Times New Roman"/>
          <w:sz w:val="24"/>
          <w:szCs w:val="24"/>
          <w:lang w:val="es-DO"/>
        </w:rPr>
      </w:pPr>
      <w:r w:rsidRPr="00424302">
        <w:rPr>
          <w:rFonts w:ascii="Times New Roman" w:hAnsi="Times New Roman" w:cs="Times New Roman"/>
          <w:sz w:val="24"/>
          <w:szCs w:val="24"/>
          <w:lang w:val="es-DO"/>
        </w:rPr>
        <w:t>Aquí</w:t>
      </w:r>
      <w:r>
        <w:rPr>
          <w:rFonts w:ascii="Times New Roman" w:hAnsi="Times New Roman" w:cs="Times New Roman"/>
          <w:sz w:val="24"/>
          <w:szCs w:val="24"/>
          <w:lang w:val="es-DO"/>
        </w:rPr>
        <w:t xml:space="preserve"> se detalla todo lo relacionado con las principales Políticas Contables significativas como podría ser, sin que esta enumeración se considere limitativa.</w:t>
      </w:r>
    </w:p>
    <w:p w:rsidR="006B1925" w:rsidRPr="00EF4E7F" w:rsidRDefault="006B1925" w:rsidP="006B1925">
      <w:pPr>
        <w:jc w:val="both"/>
        <w:rPr>
          <w:rFonts w:ascii="Times New Roman" w:hAnsi="Times New Roman" w:cs="Times New Roman"/>
          <w:b/>
          <w:sz w:val="24"/>
          <w:szCs w:val="24"/>
          <w:lang w:val="es-DO"/>
        </w:rPr>
      </w:pPr>
      <w:r w:rsidRPr="00EF4E7F">
        <w:rPr>
          <w:rFonts w:ascii="Times New Roman" w:hAnsi="Times New Roman" w:cs="Times New Roman"/>
          <w:b/>
          <w:sz w:val="24"/>
          <w:szCs w:val="24"/>
          <w:lang w:val="es-DO"/>
        </w:rPr>
        <w:t>Inventarios de materiales de oficina</w:t>
      </w:r>
    </w:p>
    <w:p w:rsidR="006B1925" w:rsidRPr="006B1925" w:rsidRDefault="006B1925" w:rsidP="001E35D9">
      <w:pPr>
        <w:jc w:val="both"/>
        <w:rPr>
          <w:rFonts w:ascii="Times New Roman" w:hAnsi="Times New Roman" w:cs="Times New Roman"/>
          <w:b/>
          <w:sz w:val="24"/>
          <w:szCs w:val="24"/>
          <w:lang w:val="es-DO"/>
        </w:rPr>
      </w:pPr>
      <w:r w:rsidRPr="00A94730">
        <w:rPr>
          <w:rFonts w:ascii="Times New Roman" w:hAnsi="Times New Roman" w:cs="Times New Roman"/>
          <w:sz w:val="24"/>
          <w:szCs w:val="24"/>
          <w:lang w:val="es-DO"/>
        </w:rPr>
        <w:t>Indicar si la medición es al menor entre el costo y el valor neto de realización y que método de valuación utiliza</w:t>
      </w:r>
      <w:r>
        <w:rPr>
          <w:rFonts w:ascii="Times New Roman" w:hAnsi="Times New Roman" w:cs="Times New Roman"/>
          <w:b/>
          <w:sz w:val="24"/>
          <w:szCs w:val="24"/>
          <w:lang w:val="es-DO"/>
        </w:rPr>
        <w:t>.</w:t>
      </w:r>
    </w:p>
    <w:p w:rsidR="000B7E2A" w:rsidRDefault="009326C1" w:rsidP="001E35D9">
      <w:pPr>
        <w:jc w:val="both"/>
        <w:rPr>
          <w:rFonts w:ascii="Times New Roman" w:hAnsi="Times New Roman" w:cs="Times New Roman"/>
          <w:b/>
          <w:i/>
          <w:sz w:val="24"/>
          <w:szCs w:val="24"/>
          <w:lang w:val="es-DO"/>
        </w:rPr>
      </w:pPr>
      <w:r>
        <w:rPr>
          <w:rFonts w:ascii="Times New Roman" w:hAnsi="Times New Roman" w:cs="Times New Roman"/>
          <w:b/>
          <w:i/>
          <w:sz w:val="24"/>
          <w:szCs w:val="24"/>
          <w:lang w:val="es-DO"/>
        </w:rPr>
        <w:t xml:space="preserve">Cuentas por cobrar y por pagar </w:t>
      </w:r>
    </w:p>
    <w:p w:rsidR="009326C1" w:rsidRDefault="009326C1"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Los pasivos son reconocidos cuando se ha recibido el bien o servicio que los genera, independientemente del momento en el que se realiza el pago.</w:t>
      </w:r>
    </w:p>
    <w:p w:rsidR="009326C1" w:rsidRPr="009326C1" w:rsidRDefault="009326C1" w:rsidP="001E35D9">
      <w:pPr>
        <w:jc w:val="both"/>
        <w:rPr>
          <w:rFonts w:ascii="Times New Roman" w:hAnsi="Times New Roman" w:cs="Times New Roman"/>
          <w:sz w:val="24"/>
          <w:szCs w:val="24"/>
          <w:lang w:val="es-DO"/>
        </w:rPr>
      </w:pPr>
      <w:r>
        <w:rPr>
          <w:rFonts w:ascii="Times New Roman" w:hAnsi="Times New Roman" w:cs="Times New Roman"/>
          <w:sz w:val="24"/>
          <w:szCs w:val="24"/>
          <w:lang w:val="es-DO"/>
        </w:rPr>
        <w:t xml:space="preserve">Los pasivos son dados de baja cuando los compromisos son saldados o expira el compromiso. </w:t>
      </w:r>
    </w:p>
    <w:p w:rsidR="00A94730" w:rsidRPr="00EF4E7F" w:rsidRDefault="00A94730" w:rsidP="001E35D9">
      <w:pPr>
        <w:jc w:val="both"/>
        <w:rPr>
          <w:rFonts w:ascii="Times New Roman" w:hAnsi="Times New Roman" w:cs="Times New Roman"/>
          <w:b/>
          <w:sz w:val="24"/>
          <w:szCs w:val="24"/>
          <w:lang w:val="es-DO"/>
        </w:rPr>
      </w:pPr>
      <w:r w:rsidRPr="00EF4E7F">
        <w:rPr>
          <w:rFonts w:ascii="Times New Roman" w:hAnsi="Times New Roman" w:cs="Times New Roman"/>
          <w:b/>
          <w:sz w:val="24"/>
          <w:szCs w:val="24"/>
          <w:lang w:val="es-DO"/>
        </w:rPr>
        <w:t>Propiedad, mobiliario y equipos</w:t>
      </w:r>
    </w:p>
    <w:p w:rsidR="00A94730" w:rsidRDefault="00A94730" w:rsidP="001E35D9">
      <w:pPr>
        <w:jc w:val="both"/>
        <w:rPr>
          <w:rFonts w:ascii="Times New Roman" w:hAnsi="Times New Roman" w:cs="Times New Roman"/>
          <w:b/>
          <w:sz w:val="24"/>
          <w:szCs w:val="24"/>
          <w:lang w:val="es-DO"/>
        </w:rPr>
      </w:pPr>
      <w:r w:rsidRPr="00432624">
        <w:rPr>
          <w:rFonts w:ascii="Times New Roman" w:hAnsi="Times New Roman" w:cs="Times New Roman"/>
          <w:b/>
          <w:i/>
          <w:sz w:val="24"/>
          <w:szCs w:val="24"/>
          <w:lang w:val="es-DO"/>
        </w:rPr>
        <w:t xml:space="preserve">Reconocimiento y medición </w:t>
      </w:r>
    </w:p>
    <w:p w:rsidR="009110E4" w:rsidRPr="00645D41" w:rsidRDefault="009110E4" w:rsidP="00FE590C">
      <w:pPr>
        <w:pStyle w:val="Sinespaciado"/>
        <w:rPr>
          <w:lang w:val="es-DO"/>
        </w:rPr>
      </w:pPr>
      <w:r w:rsidRPr="00645D41">
        <w:rPr>
          <w:lang w:val="es-DO"/>
        </w:rPr>
        <w:t>Las partidas de mobiliarios y equipos son medidas al costo de adquisición menos la depreciación acumulada y pérdidas por deterioro.</w:t>
      </w:r>
    </w:p>
    <w:p w:rsidR="009110E4" w:rsidRPr="00645D41" w:rsidRDefault="009110E4" w:rsidP="00FE590C">
      <w:pPr>
        <w:pStyle w:val="Sinespaciado"/>
        <w:rPr>
          <w:lang w:val="es-DO"/>
        </w:rPr>
      </w:pPr>
      <w:r w:rsidRPr="00645D41">
        <w:rPr>
          <w:lang w:val="es-DO"/>
        </w:rPr>
        <w:t>Si partes significativas de un elemento de mobiliarios y equipos tiene vida útil diferente, se contabiliza como elementos separados de mobiliarios y equipos.</w:t>
      </w:r>
    </w:p>
    <w:p w:rsidR="009110E4" w:rsidRPr="00645D41" w:rsidRDefault="009110E4" w:rsidP="00FE590C">
      <w:pPr>
        <w:pStyle w:val="Sinespaciado"/>
        <w:rPr>
          <w:lang w:val="es-DO"/>
        </w:rPr>
      </w:pPr>
      <w:r w:rsidRPr="00645D41">
        <w:rPr>
          <w:lang w:val="es-DO"/>
        </w:rPr>
        <w:t>Cualquier ganancia o pérdida procedente de la disposición de un elemento de mobiliarios y equipos (calculada como la diferencia entre el valor obtenido de la disposición y el valor en libros del activo) se reconoce en resultados.</w:t>
      </w:r>
    </w:p>
    <w:p w:rsidR="00FE590C" w:rsidRPr="00645D41" w:rsidRDefault="00FE590C" w:rsidP="00FE590C">
      <w:pPr>
        <w:pStyle w:val="Sinespaciado"/>
        <w:rPr>
          <w:lang w:val="es-DO"/>
        </w:rPr>
      </w:pPr>
    </w:p>
    <w:p w:rsidR="00432624" w:rsidRPr="00EF4E7F" w:rsidRDefault="00432624" w:rsidP="00FE590C">
      <w:pPr>
        <w:pStyle w:val="Sinespaciado"/>
        <w:rPr>
          <w:rFonts w:ascii="Times New Roman" w:hAnsi="Times New Roman" w:cs="Times New Roman"/>
          <w:b/>
          <w:i/>
          <w:sz w:val="24"/>
          <w:szCs w:val="24"/>
          <w:lang w:val="es-DO"/>
        </w:rPr>
      </w:pPr>
      <w:r w:rsidRPr="00EF4E7F">
        <w:rPr>
          <w:rFonts w:ascii="Times New Roman" w:hAnsi="Times New Roman" w:cs="Times New Roman"/>
          <w:b/>
          <w:i/>
          <w:sz w:val="24"/>
          <w:szCs w:val="24"/>
          <w:lang w:val="es-DO"/>
        </w:rPr>
        <w:t>Costos posteriores</w:t>
      </w:r>
    </w:p>
    <w:p w:rsidR="009110E4" w:rsidRPr="00645D41" w:rsidRDefault="009110E4" w:rsidP="00FE590C">
      <w:pPr>
        <w:pStyle w:val="Sinespaciado"/>
        <w:rPr>
          <w:lang w:val="es-DO"/>
        </w:rPr>
      </w:pPr>
      <w:r w:rsidRPr="00645D41">
        <w:rPr>
          <w:lang w:val="es-DO"/>
        </w:rPr>
        <w:t>Los desembolsos posteriores se capitalizan solo si es probable que El Ayuntamiento Municipal de Restauración reciba los beneficios económicos futuros asociados con los costos. Las reparaciones y mantenimientos continuos se registran como gastos en resultados cuando se incurren.</w:t>
      </w:r>
    </w:p>
    <w:p w:rsidR="00FE590C" w:rsidRDefault="00FE590C" w:rsidP="00FE590C">
      <w:pPr>
        <w:pStyle w:val="Sinespaciado"/>
        <w:rPr>
          <w:rFonts w:ascii="Times New Roman" w:hAnsi="Times New Roman" w:cs="Times New Roman"/>
          <w:b/>
          <w:i/>
          <w:sz w:val="24"/>
          <w:szCs w:val="24"/>
          <w:lang w:val="es-DO"/>
        </w:rPr>
      </w:pPr>
    </w:p>
    <w:p w:rsidR="00FE590C" w:rsidRDefault="00432624" w:rsidP="00FE590C">
      <w:pPr>
        <w:pStyle w:val="Sinespaciado"/>
        <w:rPr>
          <w:rFonts w:ascii="Times New Roman" w:hAnsi="Times New Roman" w:cs="Times New Roman"/>
          <w:b/>
          <w:i/>
          <w:sz w:val="24"/>
          <w:szCs w:val="24"/>
          <w:lang w:val="es-DO"/>
        </w:rPr>
      </w:pPr>
      <w:r w:rsidRPr="00432624">
        <w:rPr>
          <w:rFonts w:ascii="Times New Roman" w:hAnsi="Times New Roman" w:cs="Times New Roman"/>
          <w:b/>
          <w:i/>
          <w:sz w:val="24"/>
          <w:szCs w:val="24"/>
          <w:lang w:val="es-DO"/>
        </w:rPr>
        <w:t>Depreciación</w:t>
      </w:r>
    </w:p>
    <w:p w:rsidR="009110E4" w:rsidRPr="00645D41" w:rsidRDefault="009110E4" w:rsidP="00FE590C">
      <w:pPr>
        <w:pStyle w:val="Sinespaciado"/>
        <w:rPr>
          <w:lang w:val="es-DO"/>
        </w:rPr>
      </w:pPr>
      <w:r w:rsidRPr="00645D41">
        <w:rPr>
          <w:lang w:val="es-DO"/>
        </w:rPr>
        <w:t>La depreciación se calcula sobre el monto depreciable, que corresponde al costo de un activo u otro monto que se sustituye por el costo menos su valor residual.</w:t>
      </w:r>
    </w:p>
    <w:p w:rsidR="009110E4" w:rsidRPr="00645D41" w:rsidRDefault="009110E4" w:rsidP="00FE590C">
      <w:pPr>
        <w:pStyle w:val="Sinespaciado"/>
        <w:rPr>
          <w:lang w:val="es-DO"/>
        </w:rPr>
      </w:pPr>
      <w:r w:rsidRPr="00645D41">
        <w:rPr>
          <w:lang w:val="es-DO"/>
        </w:rPr>
        <w:t>La depreciación es reconocida en resultados con base en el método de línea recta sobre las vidas útiles estimadas de cada parte de una partida de mobiliarios y equipos, puesto que estas reflejan con mayor exactitud el patrón de consumo esperado de los beneficios económicos futuros relacionados con el activo.</w:t>
      </w:r>
    </w:p>
    <w:p w:rsidR="009110E4" w:rsidRDefault="009110E4" w:rsidP="001E35D9">
      <w:pPr>
        <w:jc w:val="both"/>
        <w:rPr>
          <w:rFonts w:ascii="Times New Roman" w:hAnsi="Times New Roman" w:cs="Times New Roman"/>
          <w:b/>
          <w:sz w:val="24"/>
          <w:szCs w:val="24"/>
          <w:lang w:val="es-DO"/>
        </w:rPr>
      </w:pPr>
    </w:p>
    <w:p w:rsidR="009110E4" w:rsidRDefault="009110E4" w:rsidP="001E35D9">
      <w:pPr>
        <w:jc w:val="both"/>
        <w:rPr>
          <w:rFonts w:ascii="Times New Roman" w:hAnsi="Times New Roman" w:cs="Times New Roman"/>
          <w:b/>
          <w:sz w:val="24"/>
          <w:szCs w:val="24"/>
          <w:lang w:val="es-DO"/>
        </w:rPr>
      </w:pPr>
    </w:p>
    <w:p w:rsidR="00312291" w:rsidRDefault="00312291" w:rsidP="001E35D9">
      <w:pPr>
        <w:jc w:val="both"/>
        <w:rPr>
          <w:rFonts w:ascii="Times New Roman" w:hAnsi="Times New Roman" w:cs="Times New Roman"/>
          <w:b/>
          <w:sz w:val="24"/>
          <w:szCs w:val="24"/>
          <w:lang w:val="es-DO"/>
        </w:rPr>
      </w:pPr>
    </w:p>
    <w:p w:rsidR="009110E4" w:rsidRDefault="009110E4" w:rsidP="009110E4">
      <w:pPr>
        <w:jc w:val="center"/>
        <w:rPr>
          <w:b/>
          <w:color w:val="000000"/>
          <w:sz w:val="27"/>
          <w:szCs w:val="27"/>
          <w:lang w:val="es-DO"/>
        </w:rPr>
      </w:pPr>
      <w:r w:rsidRPr="009110E4">
        <w:rPr>
          <w:b/>
          <w:color w:val="000000"/>
          <w:sz w:val="27"/>
          <w:szCs w:val="27"/>
          <w:lang w:val="es-DO"/>
        </w:rPr>
        <w:t>AYUNTAMIENTO MUNICIPAL DE RESTAURACION</w:t>
      </w:r>
    </w:p>
    <w:p w:rsidR="009110E4" w:rsidRPr="006B1925" w:rsidRDefault="009110E4" w:rsidP="009110E4">
      <w:pPr>
        <w:jc w:val="center"/>
        <w:rPr>
          <w:color w:val="000000"/>
          <w:sz w:val="27"/>
          <w:szCs w:val="27"/>
          <w:lang w:val="es-DO"/>
        </w:rPr>
      </w:pPr>
      <w:r w:rsidRPr="006B1925">
        <w:rPr>
          <w:color w:val="000000"/>
          <w:sz w:val="27"/>
          <w:szCs w:val="27"/>
          <w:lang w:val="es-DO"/>
        </w:rPr>
        <w:t>Notas a los Estados Financieros</w:t>
      </w:r>
    </w:p>
    <w:p w:rsidR="009110E4" w:rsidRPr="006B1925" w:rsidRDefault="009110E4" w:rsidP="009110E4">
      <w:pPr>
        <w:jc w:val="center"/>
        <w:rPr>
          <w:color w:val="000000"/>
          <w:sz w:val="27"/>
          <w:szCs w:val="27"/>
          <w:lang w:val="es-DO"/>
        </w:rPr>
      </w:pPr>
    </w:p>
    <w:p w:rsidR="009110E4" w:rsidRPr="009110E4" w:rsidRDefault="009110E4" w:rsidP="009110E4">
      <w:pPr>
        <w:pStyle w:val="NormalWeb"/>
        <w:jc w:val="both"/>
        <w:rPr>
          <w:color w:val="000000"/>
        </w:rPr>
      </w:pPr>
      <w:r w:rsidRPr="009110E4">
        <w:rPr>
          <w:color w:val="000000"/>
        </w:rPr>
        <w:t>Los elementos de mobiliarios y equipos se deprecian desde la fecha en la que estén instalados y listos para su uso o en el caso de activos construidos internamente, desde la fecha que el activo esté completado y en condiciones de ser usado.</w:t>
      </w:r>
    </w:p>
    <w:p w:rsidR="009110E4" w:rsidRPr="009110E4" w:rsidRDefault="009110E4" w:rsidP="009110E4">
      <w:pPr>
        <w:pStyle w:val="NormalWeb"/>
        <w:jc w:val="both"/>
        <w:rPr>
          <w:color w:val="000000"/>
        </w:rPr>
      </w:pPr>
      <w:r w:rsidRPr="009110E4">
        <w:rPr>
          <w:color w:val="000000"/>
        </w:rPr>
        <w:t>El estimado de vidas útiles de los mobiliarios y equipos, es como sigue:</w:t>
      </w:r>
    </w:p>
    <w:p w:rsidR="009110E4" w:rsidRPr="009110E4" w:rsidRDefault="009110E4" w:rsidP="009110E4">
      <w:pPr>
        <w:pStyle w:val="NormalWeb"/>
        <w:jc w:val="both"/>
        <w:rPr>
          <w:color w:val="000000"/>
        </w:rPr>
      </w:pPr>
      <w:r w:rsidRPr="009110E4">
        <w:rPr>
          <w:color w:val="000000"/>
        </w:rPr>
        <w:t>Años de</w:t>
      </w:r>
    </w:p>
    <w:p w:rsidR="009110E4" w:rsidRPr="009110E4" w:rsidRDefault="009110E4" w:rsidP="009110E4">
      <w:pPr>
        <w:pStyle w:val="NormalWeb"/>
        <w:jc w:val="both"/>
        <w:rPr>
          <w:color w:val="000000"/>
        </w:rPr>
      </w:pPr>
      <w:r w:rsidRPr="009110E4">
        <w:rPr>
          <w:color w:val="000000"/>
          <w:u w:val="single"/>
        </w:rPr>
        <w:t>Tipo de Activo</w:t>
      </w:r>
      <w:r w:rsidRPr="009110E4">
        <w:rPr>
          <w:color w:val="000000"/>
        </w:rPr>
        <w:t>Vida Útil</w:t>
      </w:r>
    </w:p>
    <w:p w:rsidR="009110E4" w:rsidRPr="009110E4" w:rsidRDefault="009110E4" w:rsidP="009110E4">
      <w:pPr>
        <w:pStyle w:val="NormalWeb"/>
        <w:jc w:val="both"/>
        <w:rPr>
          <w:color w:val="000000"/>
        </w:rPr>
      </w:pPr>
      <w:r w:rsidRPr="009110E4">
        <w:rPr>
          <w:color w:val="000000"/>
        </w:rPr>
        <w:t>Mobiliarios y equipos 4-10</w:t>
      </w:r>
    </w:p>
    <w:p w:rsidR="009110E4" w:rsidRPr="009110E4" w:rsidRDefault="009110E4" w:rsidP="009110E4">
      <w:pPr>
        <w:pStyle w:val="NormalWeb"/>
        <w:jc w:val="both"/>
        <w:rPr>
          <w:color w:val="000000"/>
        </w:rPr>
      </w:pPr>
      <w:r w:rsidRPr="009110E4">
        <w:rPr>
          <w:color w:val="000000"/>
        </w:rPr>
        <w:t>Los métodos de depreciación, las vidas útiles y los valores residuales son revisados anualmente y se ajustan si es necesario.</w:t>
      </w:r>
    </w:p>
    <w:p w:rsidR="00432624" w:rsidRDefault="00432624" w:rsidP="001E35D9">
      <w:pPr>
        <w:jc w:val="both"/>
        <w:rPr>
          <w:rFonts w:ascii="Times New Roman" w:hAnsi="Times New Roman" w:cs="Times New Roman"/>
          <w:b/>
          <w:i/>
          <w:sz w:val="24"/>
          <w:szCs w:val="24"/>
          <w:lang w:val="es-DO"/>
        </w:rPr>
      </w:pPr>
      <w:r w:rsidRPr="00432624">
        <w:rPr>
          <w:rFonts w:ascii="Times New Roman" w:hAnsi="Times New Roman" w:cs="Times New Roman"/>
          <w:b/>
          <w:i/>
          <w:sz w:val="24"/>
          <w:szCs w:val="24"/>
          <w:lang w:val="es-DO"/>
        </w:rPr>
        <w:t xml:space="preserve">Desembolsos posteriores </w:t>
      </w:r>
    </w:p>
    <w:p w:rsidR="0075633B" w:rsidRPr="0075633B" w:rsidRDefault="0075633B" w:rsidP="0075633B">
      <w:pPr>
        <w:jc w:val="both"/>
        <w:rPr>
          <w:rFonts w:ascii="Times New Roman" w:hAnsi="Times New Roman" w:cs="Times New Roman"/>
          <w:b/>
          <w:i/>
          <w:sz w:val="24"/>
          <w:szCs w:val="24"/>
          <w:lang w:val="es-DO"/>
        </w:rPr>
      </w:pPr>
      <w:r w:rsidRPr="0075633B">
        <w:rPr>
          <w:rFonts w:ascii="Times New Roman" w:hAnsi="Times New Roman" w:cs="Times New Roman"/>
          <w:color w:val="000000"/>
          <w:sz w:val="24"/>
          <w:szCs w:val="24"/>
          <w:lang w:val="es-DO"/>
        </w:rPr>
        <w:t>Los desembolsos posteriores son capitalizados solo cuando aumentan los beneficios económicos futuros incorporados en el activo específico relacionado con dichos desembolsos.</w:t>
      </w:r>
    </w:p>
    <w:p w:rsidR="00432624" w:rsidRPr="00432624" w:rsidRDefault="00432624" w:rsidP="001E35D9">
      <w:pPr>
        <w:jc w:val="both"/>
        <w:rPr>
          <w:rFonts w:ascii="Times New Roman" w:hAnsi="Times New Roman" w:cs="Times New Roman"/>
          <w:b/>
          <w:i/>
          <w:sz w:val="24"/>
          <w:szCs w:val="24"/>
          <w:lang w:val="es-DO"/>
        </w:rPr>
      </w:pPr>
      <w:r w:rsidRPr="00432624">
        <w:rPr>
          <w:rFonts w:ascii="Times New Roman" w:hAnsi="Times New Roman" w:cs="Times New Roman"/>
          <w:b/>
          <w:i/>
          <w:sz w:val="24"/>
          <w:szCs w:val="24"/>
          <w:lang w:val="es-DO"/>
        </w:rPr>
        <w:t xml:space="preserve">Amortización </w:t>
      </w:r>
    </w:p>
    <w:p w:rsidR="0075633B" w:rsidRDefault="0075633B" w:rsidP="0075633B">
      <w:pPr>
        <w:pStyle w:val="NormalWeb"/>
        <w:rPr>
          <w:color w:val="000000"/>
          <w:sz w:val="27"/>
          <w:szCs w:val="27"/>
        </w:rPr>
      </w:pPr>
      <w:r>
        <w:rPr>
          <w:color w:val="000000"/>
          <w:sz w:val="27"/>
          <w:szCs w:val="27"/>
        </w:rPr>
        <w:t>La amortización se calcula sobre el monto depreciable, que corresponde al costo de un activo menos su valor residual.</w:t>
      </w:r>
    </w:p>
    <w:p w:rsidR="0075633B" w:rsidRDefault="0075633B" w:rsidP="0075633B">
      <w:pPr>
        <w:pStyle w:val="NormalWeb"/>
        <w:rPr>
          <w:color w:val="000000"/>
          <w:sz w:val="27"/>
          <w:szCs w:val="27"/>
        </w:rPr>
      </w:pPr>
      <w:r>
        <w:rPr>
          <w:color w:val="000000"/>
          <w:sz w:val="27"/>
          <w:szCs w:val="27"/>
        </w:rPr>
        <w:t>La amortización es reconocida en el resultado sobre la base del método de línea recta.</w:t>
      </w:r>
    </w:p>
    <w:p w:rsidR="0075633B" w:rsidRDefault="0075633B" w:rsidP="0075633B">
      <w:pPr>
        <w:pStyle w:val="NormalWeb"/>
        <w:rPr>
          <w:color w:val="000000"/>
          <w:sz w:val="27"/>
          <w:szCs w:val="27"/>
        </w:rPr>
      </w:pPr>
      <w:r>
        <w:rPr>
          <w:color w:val="000000"/>
          <w:sz w:val="27"/>
          <w:szCs w:val="27"/>
        </w:rPr>
        <w:t>La vida útil estimada de las licencias, programas y software abarca un período de 5 a 10 años.</w:t>
      </w:r>
    </w:p>
    <w:p w:rsidR="000329A5" w:rsidRPr="0075633B" w:rsidRDefault="0075633B" w:rsidP="0075633B">
      <w:pPr>
        <w:pStyle w:val="NormalWeb"/>
        <w:rPr>
          <w:color w:val="000000"/>
          <w:sz w:val="27"/>
          <w:szCs w:val="27"/>
        </w:rPr>
      </w:pPr>
      <w:r>
        <w:rPr>
          <w:color w:val="000000"/>
          <w:sz w:val="27"/>
          <w:szCs w:val="27"/>
        </w:rPr>
        <w:t>El método de amortización, la vida útil y el valor residual son revisados anualmente, si existe evidencia de algún cambio y se ajustan, si es necesario.</w:t>
      </w:r>
    </w:p>
    <w:p w:rsidR="000D2153" w:rsidRDefault="000D2153" w:rsidP="001E35D9">
      <w:pPr>
        <w:jc w:val="both"/>
        <w:rPr>
          <w:rFonts w:ascii="Times New Roman" w:hAnsi="Times New Roman" w:cs="Times New Roman"/>
          <w:b/>
          <w:i/>
          <w:sz w:val="24"/>
          <w:szCs w:val="24"/>
          <w:lang w:val="es-DO"/>
        </w:rPr>
      </w:pPr>
    </w:p>
    <w:p w:rsidR="0075633B" w:rsidRDefault="0075633B" w:rsidP="00B572DB">
      <w:pPr>
        <w:rPr>
          <w:rFonts w:ascii="Times New Roman" w:hAnsi="Times New Roman" w:cs="Times New Roman"/>
          <w:b/>
          <w:sz w:val="24"/>
          <w:szCs w:val="24"/>
          <w:lang w:val="es-DO"/>
        </w:rPr>
      </w:pPr>
    </w:p>
    <w:p w:rsidR="0075633B" w:rsidRDefault="0075633B" w:rsidP="00B572DB">
      <w:pPr>
        <w:rPr>
          <w:rFonts w:ascii="Times New Roman" w:hAnsi="Times New Roman" w:cs="Times New Roman"/>
          <w:b/>
          <w:sz w:val="24"/>
          <w:szCs w:val="24"/>
          <w:lang w:val="es-DO"/>
        </w:rPr>
      </w:pPr>
    </w:p>
    <w:sectPr w:rsidR="0075633B" w:rsidSect="00A646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6C0" w:rsidRDefault="001716C0" w:rsidP="00C50ADC">
      <w:pPr>
        <w:spacing w:after="0" w:line="240" w:lineRule="auto"/>
      </w:pPr>
      <w:r>
        <w:separator/>
      </w:r>
    </w:p>
  </w:endnote>
  <w:endnote w:type="continuationSeparator" w:id="0">
    <w:p w:rsidR="001716C0" w:rsidRDefault="001716C0" w:rsidP="00C5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376"/>
      <w:docPartObj>
        <w:docPartGallery w:val="Page Numbers (Bottom of Page)"/>
        <w:docPartUnique/>
      </w:docPartObj>
    </w:sdtPr>
    <w:sdtEndPr/>
    <w:sdtContent>
      <w:p w:rsidR="008942AD" w:rsidRDefault="001716C0">
        <w:pPr>
          <w:pStyle w:val="Piedepgina"/>
        </w:pPr>
        <w:r>
          <w:fldChar w:fldCharType="begin"/>
        </w:r>
        <w:r>
          <w:instrText xml:space="preserve"> PAGE   \* MERGEFORMAT </w:instrText>
        </w:r>
        <w:r>
          <w:fldChar w:fldCharType="separate"/>
        </w:r>
        <w:r w:rsidR="00381C56">
          <w:rPr>
            <w:noProof/>
          </w:rPr>
          <w:t>1</w:t>
        </w:r>
        <w:r>
          <w:rPr>
            <w:noProof/>
          </w:rPr>
          <w:fldChar w:fldCharType="end"/>
        </w:r>
      </w:p>
    </w:sdtContent>
  </w:sdt>
  <w:p w:rsidR="008942AD" w:rsidRDefault="008942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6C0" w:rsidRDefault="001716C0" w:rsidP="00C50ADC">
      <w:pPr>
        <w:spacing w:after="0" w:line="240" w:lineRule="auto"/>
      </w:pPr>
      <w:r>
        <w:separator/>
      </w:r>
    </w:p>
  </w:footnote>
  <w:footnote w:type="continuationSeparator" w:id="0">
    <w:p w:rsidR="001716C0" w:rsidRDefault="001716C0" w:rsidP="00C5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3356"/>
    <w:rsid w:val="00003C4A"/>
    <w:rsid w:val="00005D53"/>
    <w:rsid w:val="000138B7"/>
    <w:rsid w:val="00020B36"/>
    <w:rsid w:val="0002107E"/>
    <w:rsid w:val="00021B54"/>
    <w:rsid w:val="00022ED6"/>
    <w:rsid w:val="00024CD4"/>
    <w:rsid w:val="000329A5"/>
    <w:rsid w:val="0004066B"/>
    <w:rsid w:val="00041907"/>
    <w:rsid w:val="00041BE6"/>
    <w:rsid w:val="00046B54"/>
    <w:rsid w:val="00050425"/>
    <w:rsid w:val="00057143"/>
    <w:rsid w:val="00070BEB"/>
    <w:rsid w:val="000721E6"/>
    <w:rsid w:val="0007678E"/>
    <w:rsid w:val="00092996"/>
    <w:rsid w:val="000A099C"/>
    <w:rsid w:val="000A24F0"/>
    <w:rsid w:val="000B3067"/>
    <w:rsid w:val="000B7E2A"/>
    <w:rsid w:val="000C1229"/>
    <w:rsid w:val="000C3B78"/>
    <w:rsid w:val="000C7008"/>
    <w:rsid w:val="000D2153"/>
    <w:rsid w:val="000D51B2"/>
    <w:rsid w:val="000D6712"/>
    <w:rsid w:val="000E0DA1"/>
    <w:rsid w:val="000E798B"/>
    <w:rsid w:val="000F2CEF"/>
    <w:rsid w:val="0010253C"/>
    <w:rsid w:val="00106CA7"/>
    <w:rsid w:val="00110E3B"/>
    <w:rsid w:val="0011139D"/>
    <w:rsid w:val="00115BC5"/>
    <w:rsid w:val="001208E8"/>
    <w:rsid w:val="00123BF1"/>
    <w:rsid w:val="001309FB"/>
    <w:rsid w:val="00131B01"/>
    <w:rsid w:val="00136D2D"/>
    <w:rsid w:val="00137501"/>
    <w:rsid w:val="001375DC"/>
    <w:rsid w:val="00151D37"/>
    <w:rsid w:val="00152C05"/>
    <w:rsid w:val="00156857"/>
    <w:rsid w:val="00156EB9"/>
    <w:rsid w:val="001716C0"/>
    <w:rsid w:val="00175F2B"/>
    <w:rsid w:val="00176BD8"/>
    <w:rsid w:val="001A70D7"/>
    <w:rsid w:val="001B7686"/>
    <w:rsid w:val="001C497B"/>
    <w:rsid w:val="001C6EC0"/>
    <w:rsid w:val="001E35D9"/>
    <w:rsid w:val="001F0174"/>
    <w:rsid w:val="001F5ABC"/>
    <w:rsid w:val="00214FF8"/>
    <w:rsid w:val="00234A93"/>
    <w:rsid w:val="00237EE6"/>
    <w:rsid w:val="00244574"/>
    <w:rsid w:val="0025261F"/>
    <w:rsid w:val="00257181"/>
    <w:rsid w:val="00257A7F"/>
    <w:rsid w:val="00263702"/>
    <w:rsid w:val="00270DFB"/>
    <w:rsid w:val="00292EF8"/>
    <w:rsid w:val="002A514C"/>
    <w:rsid w:val="002B1773"/>
    <w:rsid w:val="002B1CDD"/>
    <w:rsid w:val="002B733F"/>
    <w:rsid w:val="002C331A"/>
    <w:rsid w:val="002D4AE6"/>
    <w:rsid w:val="002D7460"/>
    <w:rsid w:val="002D7854"/>
    <w:rsid w:val="002E187B"/>
    <w:rsid w:val="003044E2"/>
    <w:rsid w:val="00312291"/>
    <w:rsid w:val="0031477A"/>
    <w:rsid w:val="00316D28"/>
    <w:rsid w:val="00323813"/>
    <w:rsid w:val="00333288"/>
    <w:rsid w:val="00340E9A"/>
    <w:rsid w:val="00352218"/>
    <w:rsid w:val="003572FC"/>
    <w:rsid w:val="00362822"/>
    <w:rsid w:val="00364156"/>
    <w:rsid w:val="00365DA1"/>
    <w:rsid w:val="00381C56"/>
    <w:rsid w:val="003853E7"/>
    <w:rsid w:val="00391B8B"/>
    <w:rsid w:val="003B3456"/>
    <w:rsid w:val="003B72C7"/>
    <w:rsid w:val="003C1C52"/>
    <w:rsid w:val="003C74D2"/>
    <w:rsid w:val="003D3B7C"/>
    <w:rsid w:val="003D44C3"/>
    <w:rsid w:val="003E52A9"/>
    <w:rsid w:val="003E7DF9"/>
    <w:rsid w:val="003F54F5"/>
    <w:rsid w:val="00407AF3"/>
    <w:rsid w:val="0041209B"/>
    <w:rsid w:val="00412D90"/>
    <w:rsid w:val="004171CA"/>
    <w:rsid w:val="004219FD"/>
    <w:rsid w:val="00424302"/>
    <w:rsid w:val="00431673"/>
    <w:rsid w:val="00432624"/>
    <w:rsid w:val="004343B3"/>
    <w:rsid w:val="004506E1"/>
    <w:rsid w:val="0045207D"/>
    <w:rsid w:val="00453C86"/>
    <w:rsid w:val="00454153"/>
    <w:rsid w:val="00461818"/>
    <w:rsid w:val="00463101"/>
    <w:rsid w:val="00481850"/>
    <w:rsid w:val="00482F70"/>
    <w:rsid w:val="0048769B"/>
    <w:rsid w:val="00487901"/>
    <w:rsid w:val="00487F24"/>
    <w:rsid w:val="004A26AD"/>
    <w:rsid w:val="004A3078"/>
    <w:rsid w:val="004B226A"/>
    <w:rsid w:val="004B65D3"/>
    <w:rsid w:val="004C373D"/>
    <w:rsid w:val="004D302F"/>
    <w:rsid w:val="004D7AA4"/>
    <w:rsid w:val="004E3425"/>
    <w:rsid w:val="005217F1"/>
    <w:rsid w:val="00522388"/>
    <w:rsid w:val="00530F55"/>
    <w:rsid w:val="00547408"/>
    <w:rsid w:val="00551C30"/>
    <w:rsid w:val="0055407C"/>
    <w:rsid w:val="00557A38"/>
    <w:rsid w:val="00561C97"/>
    <w:rsid w:val="00561E97"/>
    <w:rsid w:val="0058276F"/>
    <w:rsid w:val="005837C5"/>
    <w:rsid w:val="00594571"/>
    <w:rsid w:val="00595716"/>
    <w:rsid w:val="005A10C7"/>
    <w:rsid w:val="005A5358"/>
    <w:rsid w:val="005B0459"/>
    <w:rsid w:val="005B11F1"/>
    <w:rsid w:val="005C7068"/>
    <w:rsid w:val="005D1166"/>
    <w:rsid w:val="005D28B5"/>
    <w:rsid w:val="005D3946"/>
    <w:rsid w:val="005D5B37"/>
    <w:rsid w:val="005D7168"/>
    <w:rsid w:val="005F715D"/>
    <w:rsid w:val="005F7B16"/>
    <w:rsid w:val="00601753"/>
    <w:rsid w:val="0060204D"/>
    <w:rsid w:val="006177D2"/>
    <w:rsid w:val="006446A4"/>
    <w:rsid w:val="00645D41"/>
    <w:rsid w:val="00646619"/>
    <w:rsid w:val="00654372"/>
    <w:rsid w:val="00663A02"/>
    <w:rsid w:val="00694544"/>
    <w:rsid w:val="006A3B27"/>
    <w:rsid w:val="006B1925"/>
    <w:rsid w:val="006C4F4F"/>
    <w:rsid w:val="006C66DE"/>
    <w:rsid w:val="006C6B29"/>
    <w:rsid w:val="006D7610"/>
    <w:rsid w:val="006E20C6"/>
    <w:rsid w:val="006F53B0"/>
    <w:rsid w:val="00702187"/>
    <w:rsid w:val="0070236E"/>
    <w:rsid w:val="00713E33"/>
    <w:rsid w:val="0072726C"/>
    <w:rsid w:val="00734989"/>
    <w:rsid w:val="007523A4"/>
    <w:rsid w:val="0075633B"/>
    <w:rsid w:val="00784610"/>
    <w:rsid w:val="00785DC4"/>
    <w:rsid w:val="0078747B"/>
    <w:rsid w:val="00790CC1"/>
    <w:rsid w:val="00792D17"/>
    <w:rsid w:val="007A6547"/>
    <w:rsid w:val="007B2C2B"/>
    <w:rsid w:val="007E40AE"/>
    <w:rsid w:val="007E571A"/>
    <w:rsid w:val="007F03BA"/>
    <w:rsid w:val="007F10DE"/>
    <w:rsid w:val="007F6C2A"/>
    <w:rsid w:val="008026F2"/>
    <w:rsid w:val="008073B4"/>
    <w:rsid w:val="00824E9A"/>
    <w:rsid w:val="00832BDA"/>
    <w:rsid w:val="008336CF"/>
    <w:rsid w:val="00841FDA"/>
    <w:rsid w:val="00873EB5"/>
    <w:rsid w:val="00880EBE"/>
    <w:rsid w:val="0088213B"/>
    <w:rsid w:val="008942AD"/>
    <w:rsid w:val="008972B1"/>
    <w:rsid w:val="00897F81"/>
    <w:rsid w:val="008A6827"/>
    <w:rsid w:val="008B0BFB"/>
    <w:rsid w:val="008B42EF"/>
    <w:rsid w:val="008B720D"/>
    <w:rsid w:val="008B767E"/>
    <w:rsid w:val="008C00DB"/>
    <w:rsid w:val="008C124A"/>
    <w:rsid w:val="008C7693"/>
    <w:rsid w:val="008D794D"/>
    <w:rsid w:val="008F3C3F"/>
    <w:rsid w:val="00910C0D"/>
    <w:rsid w:val="009110E4"/>
    <w:rsid w:val="0091490C"/>
    <w:rsid w:val="00917FCF"/>
    <w:rsid w:val="00924982"/>
    <w:rsid w:val="009326C1"/>
    <w:rsid w:val="009329BE"/>
    <w:rsid w:val="00942ABB"/>
    <w:rsid w:val="00942B0A"/>
    <w:rsid w:val="00945C79"/>
    <w:rsid w:val="009469E0"/>
    <w:rsid w:val="009516FE"/>
    <w:rsid w:val="00963A84"/>
    <w:rsid w:val="00966EF8"/>
    <w:rsid w:val="00970907"/>
    <w:rsid w:val="009741C3"/>
    <w:rsid w:val="00975020"/>
    <w:rsid w:val="0097568C"/>
    <w:rsid w:val="009767C3"/>
    <w:rsid w:val="00984ABC"/>
    <w:rsid w:val="00993356"/>
    <w:rsid w:val="009A0458"/>
    <w:rsid w:val="009B521B"/>
    <w:rsid w:val="009C254E"/>
    <w:rsid w:val="009C66D4"/>
    <w:rsid w:val="009D1087"/>
    <w:rsid w:val="009D15CD"/>
    <w:rsid w:val="009D4C4C"/>
    <w:rsid w:val="009D61BE"/>
    <w:rsid w:val="009D7ACC"/>
    <w:rsid w:val="009E2E75"/>
    <w:rsid w:val="00A00395"/>
    <w:rsid w:val="00A02D44"/>
    <w:rsid w:val="00A12864"/>
    <w:rsid w:val="00A12EC3"/>
    <w:rsid w:val="00A15BC7"/>
    <w:rsid w:val="00A16DF9"/>
    <w:rsid w:val="00A24117"/>
    <w:rsid w:val="00A249B9"/>
    <w:rsid w:val="00A35B7D"/>
    <w:rsid w:val="00A42FE1"/>
    <w:rsid w:val="00A5080A"/>
    <w:rsid w:val="00A50849"/>
    <w:rsid w:val="00A53BAE"/>
    <w:rsid w:val="00A57200"/>
    <w:rsid w:val="00A62D14"/>
    <w:rsid w:val="00A646F2"/>
    <w:rsid w:val="00A65DB9"/>
    <w:rsid w:val="00A869F7"/>
    <w:rsid w:val="00A87976"/>
    <w:rsid w:val="00A94730"/>
    <w:rsid w:val="00AA24E3"/>
    <w:rsid w:val="00AA5555"/>
    <w:rsid w:val="00AC1940"/>
    <w:rsid w:val="00AC429B"/>
    <w:rsid w:val="00AC64AD"/>
    <w:rsid w:val="00AD0B45"/>
    <w:rsid w:val="00AE0F25"/>
    <w:rsid w:val="00B10E2E"/>
    <w:rsid w:val="00B13848"/>
    <w:rsid w:val="00B21C33"/>
    <w:rsid w:val="00B25DF4"/>
    <w:rsid w:val="00B36771"/>
    <w:rsid w:val="00B3689F"/>
    <w:rsid w:val="00B40554"/>
    <w:rsid w:val="00B4136E"/>
    <w:rsid w:val="00B42704"/>
    <w:rsid w:val="00B44655"/>
    <w:rsid w:val="00B566C1"/>
    <w:rsid w:val="00B57155"/>
    <w:rsid w:val="00B572DB"/>
    <w:rsid w:val="00B63F7D"/>
    <w:rsid w:val="00B819C1"/>
    <w:rsid w:val="00B836F7"/>
    <w:rsid w:val="00B854F4"/>
    <w:rsid w:val="00B85E0C"/>
    <w:rsid w:val="00B87772"/>
    <w:rsid w:val="00B930CF"/>
    <w:rsid w:val="00B976D1"/>
    <w:rsid w:val="00BA5F16"/>
    <w:rsid w:val="00BA7350"/>
    <w:rsid w:val="00BC3602"/>
    <w:rsid w:val="00BC4A2B"/>
    <w:rsid w:val="00BC59E1"/>
    <w:rsid w:val="00BD743A"/>
    <w:rsid w:val="00BE48B3"/>
    <w:rsid w:val="00C01AFF"/>
    <w:rsid w:val="00C21A94"/>
    <w:rsid w:val="00C377C7"/>
    <w:rsid w:val="00C37D9E"/>
    <w:rsid w:val="00C50ADC"/>
    <w:rsid w:val="00C54433"/>
    <w:rsid w:val="00C56C98"/>
    <w:rsid w:val="00C56DD1"/>
    <w:rsid w:val="00C6677F"/>
    <w:rsid w:val="00C67FAA"/>
    <w:rsid w:val="00C717C5"/>
    <w:rsid w:val="00C8683E"/>
    <w:rsid w:val="00C933C6"/>
    <w:rsid w:val="00CB12DD"/>
    <w:rsid w:val="00CB3E23"/>
    <w:rsid w:val="00CC0820"/>
    <w:rsid w:val="00CC2B27"/>
    <w:rsid w:val="00CC2F49"/>
    <w:rsid w:val="00CD221A"/>
    <w:rsid w:val="00CE11AE"/>
    <w:rsid w:val="00CE5072"/>
    <w:rsid w:val="00CF6678"/>
    <w:rsid w:val="00D13987"/>
    <w:rsid w:val="00D23509"/>
    <w:rsid w:val="00D30134"/>
    <w:rsid w:val="00D44DF4"/>
    <w:rsid w:val="00D54DF7"/>
    <w:rsid w:val="00D55BEF"/>
    <w:rsid w:val="00D62AB1"/>
    <w:rsid w:val="00D73766"/>
    <w:rsid w:val="00D84A10"/>
    <w:rsid w:val="00D92E4D"/>
    <w:rsid w:val="00D93789"/>
    <w:rsid w:val="00D94814"/>
    <w:rsid w:val="00DB3063"/>
    <w:rsid w:val="00DB68B6"/>
    <w:rsid w:val="00DC1F6F"/>
    <w:rsid w:val="00DC4287"/>
    <w:rsid w:val="00DD18C1"/>
    <w:rsid w:val="00DD3A47"/>
    <w:rsid w:val="00DE2D70"/>
    <w:rsid w:val="00DE2FCE"/>
    <w:rsid w:val="00DE4B0B"/>
    <w:rsid w:val="00DF4AD7"/>
    <w:rsid w:val="00E05555"/>
    <w:rsid w:val="00E07882"/>
    <w:rsid w:val="00E13300"/>
    <w:rsid w:val="00E160D6"/>
    <w:rsid w:val="00E41345"/>
    <w:rsid w:val="00E42BAA"/>
    <w:rsid w:val="00E4351C"/>
    <w:rsid w:val="00E62B5D"/>
    <w:rsid w:val="00E77130"/>
    <w:rsid w:val="00E841B5"/>
    <w:rsid w:val="00E9668E"/>
    <w:rsid w:val="00EB1CD5"/>
    <w:rsid w:val="00EB25BB"/>
    <w:rsid w:val="00EB3415"/>
    <w:rsid w:val="00EB7BB6"/>
    <w:rsid w:val="00EE23FB"/>
    <w:rsid w:val="00EE2500"/>
    <w:rsid w:val="00EE4988"/>
    <w:rsid w:val="00EE6661"/>
    <w:rsid w:val="00EE6B99"/>
    <w:rsid w:val="00EF4E7F"/>
    <w:rsid w:val="00EF758D"/>
    <w:rsid w:val="00F01EC9"/>
    <w:rsid w:val="00F025EC"/>
    <w:rsid w:val="00F02FB7"/>
    <w:rsid w:val="00F033CC"/>
    <w:rsid w:val="00F04918"/>
    <w:rsid w:val="00F056A8"/>
    <w:rsid w:val="00F12233"/>
    <w:rsid w:val="00F16B69"/>
    <w:rsid w:val="00F2412C"/>
    <w:rsid w:val="00F2552B"/>
    <w:rsid w:val="00F30812"/>
    <w:rsid w:val="00F31B58"/>
    <w:rsid w:val="00F42927"/>
    <w:rsid w:val="00F55E15"/>
    <w:rsid w:val="00F64EE3"/>
    <w:rsid w:val="00F65B07"/>
    <w:rsid w:val="00F66EA3"/>
    <w:rsid w:val="00F76B3F"/>
    <w:rsid w:val="00F76EDA"/>
    <w:rsid w:val="00F864A4"/>
    <w:rsid w:val="00F9242E"/>
    <w:rsid w:val="00F954C7"/>
    <w:rsid w:val="00FA164A"/>
    <w:rsid w:val="00FA241A"/>
    <w:rsid w:val="00FC631B"/>
    <w:rsid w:val="00FE1622"/>
    <w:rsid w:val="00FE3F14"/>
    <w:rsid w:val="00FE590C"/>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2BFE"/>
  <w15:docId w15:val="{772F5759-568C-4805-95F7-A0EC1BFE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6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4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17C5"/>
    <w:pPr>
      <w:ind w:left="720"/>
      <w:contextualSpacing/>
    </w:pPr>
  </w:style>
  <w:style w:type="paragraph" w:styleId="Encabezado">
    <w:name w:val="header"/>
    <w:basedOn w:val="Normal"/>
    <w:link w:val="EncabezadoCar"/>
    <w:uiPriority w:val="99"/>
    <w:unhideWhenUsed/>
    <w:rsid w:val="00C50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0ADC"/>
  </w:style>
  <w:style w:type="paragraph" w:styleId="Piedepgina">
    <w:name w:val="footer"/>
    <w:basedOn w:val="Normal"/>
    <w:link w:val="PiedepginaCar"/>
    <w:uiPriority w:val="99"/>
    <w:unhideWhenUsed/>
    <w:rsid w:val="00C50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0ADC"/>
  </w:style>
  <w:style w:type="paragraph" w:styleId="Sinespaciado">
    <w:name w:val="No Spacing"/>
    <w:uiPriority w:val="1"/>
    <w:qFormat/>
    <w:rsid w:val="00A65DB9"/>
    <w:pPr>
      <w:spacing w:after="0" w:line="240" w:lineRule="auto"/>
    </w:pPr>
  </w:style>
  <w:style w:type="paragraph" w:styleId="NormalWeb">
    <w:name w:val="Normal (Web)"/>
    <w:basedOn w:val="Normal"/>
    <w:uiPriority w:val="99"/>
    <w:unhideWhenUsed/>
    <w:rsid w:val="009110E4"/>
    <w:pPr>
      <w:spacing w:before="100" w:beforeAutospacing="1" w:after="100" w:afterAutospacing="1" w:line="240" w:lineRule="auto"/>
    </w:pPr>
    <w:rPr>
      <w:rFonts w:ascii="Times New Roman" w:eastAsia="Times New Roman" w:hAnsi="Times New Roman" w:cs="Times New Roman"/>
      <w:sz w:val="24"/>
      <w:szCs w:val="24"/>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40010">
      <w:bodyDiv w:val="1"/>
      <w:marLeft w:val="0"/>
      <w:marRight w:val="0"/>
      <w:marTop w:val="0"/>
      <w:marBottom w:val="0"/>
      <w:divBdr>
        <w:top w:val="none" w:sz="0" w:space="0" w:color="auto"/>
        <w:left w:val="none" w:sz="0" w:space="0" w:color="auto"/>
        <w:bottom w:val="none" w:sz="0" w:space="0" w:color="auto"/>
        <w:right w:val="none" w:sz="0" w:space="0" w:color="auto"/>
      </w:divBdr>
    </w:div>
    <w:div w:id="363871289">
      <w:bodyDiv w:val="1"/>
      <w:marLeft w:val="0"/>
      <w:marRight w:val="0"/>
      <w:marTop w:val="0"/>
      <w:marBottom w:val="0"/>
      <w:divBdr>
        <w:top w:val="none" w:sz="0" w:space="0" w:color="auto"/>
        <w:left w:val="none" w:sz="0" w:space="0" w:color="auto"/>
        <w:bottom w:val="none" w:sz="0" w:space="0" w:color="auto"/>
        <w:right w:val="none" w:sz="0" w:space="0" w:color="auto"/>
      </w:divBdr>
    </w:div>
    <w:div w:id="517893528">
      <w:bodyDiv w:val="1"/>
      <w:marLeft w:val="0"/>
      <w:marRight w:val="0"/>
      <w:marTop w:val="0"/>
      <w:marBottom w:val="0"/>
      <w:divBdr>
        <w:top w:val="none" w:sz="0" w:space="0" w:color="auto"/>
        <w:left w:val="none" w:sz="0" w:space="0" w:color="auto"/>
        <w:bottom w:val="none" w:sz="0" w:space="0" w:color="auto"/>
        <w:right w:val="none" w:sz="0" w:space="0" w:color="auto"/>
      </w:divBdr>
    </w:div>
    <w:div w:id="1031762374">
      <w:bodyDiv w:val="1"/>
      <w:marLeft w:val="0"/>
      <w:marRight w:val="0"/>
      <w:marTop w:val="0"/>
      <w:marBottom w:val="0"/>
      <w:divBdr>
        <w:top w:val="none" w:sz="0" w:space="0" w:color="auto"/>
        <w:left w:val="none" w:sz="0" w:space="0" w:color="auto"/>
        <w:bottom w:val="none" w:sz="0" w:space="0" w:color="auto"/>
        <w:right w:val="none" w:sz="0" w:space="0" w:color="auto"/>
      </w:divBdr>
    </w:div>
    <w:div w:id="1139494877">
      <w:bodyDiv w:val="1"/>
      <w:marLeft w:val="0"/>
      <w:marRight w:val="0"/>
      <w:marTop w:val="0"/>
      <w:marBottom w:val="0"/>
      <w:divBdr>
        <w:top w:val="none" w:sz="0" w:space="0" w:color="auto"/>
        <w:left w:val="none" w:sz="0" w:space="0" w:color="auto"/>
        <w:bottom w:val="none" w:sz="0" w:space="0" w:color="auto"/>
        <w:right w:val="none" w:sz="0" w:space="0" w:color="auto"/>
      </w:divBdr>
    </w:div>
    <w:div w:id="1249509607">
      <w:bodyDiv w:val="1"/>
      <w:marLeft w:val="0"/>
      <w:marRight w:val="0"/>
      <w:marTop w:val="0"/>
      <w:marBottom w:val="0"/>
      <w:divBdr>
        <w:top w:val="none" w:sz="0" w:space="0" w:color="auto"/>
        <w:left w:val="none" w:sz="0" w:space="0" w:color="auto"/>
        <w:bottom w:val="none" w:sz="0" w:space="0" w:color="auto"/>
        <w:right w:val="none" w:sz="0" w:space="0" w:color="auto"/>
      </w:divBdr>
    </w:div>
    <w:div w:id="1303119252">
      <w:bodyDiv w:val="1"/>
      <w:marLeft w:val="0"/>
      <w:marRight w:val="0"/>
      <w:marTop w:val="0"/>
      <w:marBottom w:val="0"/>
      <w:divBdr>
        <w:top w:val="none" w:sz="0" w:space="0" w:color="auto"/>
        <w:left w:val="none" w:sz="0" w:space="0" w:color="auto"/>
        <w:bottom w:val="none" w:sz="0" w:space="0" w:color="auto"/>
        <w:right w:val="none" w:sz="0" w:space="0" w:color="auto"/>
      </w:divBdr>
    </w:div>
    <w:div w:id="1492257349">
      <w:bodyDiv w:val="1"/>
      <w:marLeft w:val="0"/>
      <w:marRight w:val="0"/>
      <w:marTop w:val="0"/>
      <w:marBottom w:val="0"/>
      <w:divBdr>
        <w:top w:val="none" w:sz="0" w:space="0" w:color="auto"/>
        <w:left w:val="none" w:sz="0" w:space="0" w:color="auto"/>
        <w:bottom w:val="none" w:sz="0" w:space="0" w:color="auto"/>
        <w:right w:val="none" w:sz="0" w:space="0" w:color="auto"/>
      </w:divBdr>
    </w:div>
    <w:div w:id="1596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666B-7270-4B96-AB3D-782F15ECF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1180</Words>
  <Characters>6493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Dionisia Vizcaino</dc:creator>
  <cp:lastModifiedBy>Misael Torres</cp:lastModifiedBy>
  <cp:revision>17</cp:revision>
  <cp:lastPrinted>2020-01-15T14:52:00Z</cp:lastPrinted>
  <dcterms:created xsi:type="dcterms:W3CDTF">2020-01-15T14:57:00Z</dcterms:created>
  <dcterms:modified xsi:type="dcterms:W3CDTF">2023-02-16T17:38:00Z</dcterms:modified>
</cp:coreProperties>
</file>